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3EC795" w14:textId="77777777" w:rsidR="00035635" w:rsidRDefault="00035635" w:rsidP="00035635">
      <w:pPr>
        <w:jc w:val="center"/>
        <w:rPr>
          <w:b/>
          <w:sz w:val="28"/>
          <w:szCs w:val="28"/>
        </w:rPr>
      </w:pPr>
      <w:r w:rsidRPr="00035635">
        <w:rPr>
          <w:b/>
          <w:noProof/>
          <w:sz w:val="28"/>
          <w:szCs w:val="28"/>
        </w:rPr>
        <w:drawing>
          <wp:inline distT="0" distB="0" distL="0" distR="0" wp14:anchorId="0581A84F" wp14:editId="5A228E21">
            <wp:extent cx="1343025" cy="714375"/>
            <wp:effectExtent l="0" t="0" r="9525" b="9525"/>
            <wp:docPr id="1" name="Picture 1" descr="C:\Users\tusi.fokane\AppData\Local\Microsoft\Windows\Temporary Internet Files\Content.Outlook\E2457XQN\FXI LOGO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usi.fokane\AppData\Local\Microsoft\Windows\Temporary Internet Files\Content.Outlook\E2457XQN\FXI LOGO 2017.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025" cy="714375"/>
                    </a:xfrm>
                    <a:prstGeom prst="rect">
                      <a:avLst/>
                    </a:prstGeom>
                    <a:noFill/>
                    <a:ln>
                      <a:noFill/>
                    </a:ln>
                  </pic:spPr>
                </pic:pic>
              </a:graphicData>
            </a:graphic>
          </wp:inline>
        </w:drawing>
      </w:r>
    </w:p>
    <w:p w14:paraId="527B5C58" w14:textId="77777777" w:rsidR="00035635" w:rsidRDefault="00035635" w:rsidP="00035635">
      <w:pPr>
        <w:jc w:val="both"/>
        <w:rPr>
          <w:b/>
          <w:sz w:val="28"/>
          <w:szCs w:val="28"/>
        </w:rPr>
      </w:pPr>
    </w:p>
    <w:p w14:paraId="6192852B" w14:textId="77777777" w:rsidR="00035635" w:rsidRPr="00035635" w:rsidRDefault="00035635" w:rsidP="00035635">
      <w:pPr>
        <w:jc w:val="center"/>
        <w:rPr>
          <w:b/>
          <w:sz w:val="28"/>
          <w:szCs w:val="28"/>
        </w:rPr>
      </w:pPr>
      <w:r w:rsidRPr="00035635">
        <w:rPr>
          <w:b/>
          <w:sz w:val="28"/>
          <w:szCs w:val="28"/>
        </w:rPr>
        <w:t>Freedom of Expression Institute - Position Paper on Hate Speech</w:t>
      </w:r>
    </w:p>
    <w:p w14:paraId="4D0B9D5C" w14:textId="77777777" w:rsidR="00035635" w:rsidRDefault="00035635" w:rsidP="00035635">
      <w:pPr>
        <w:jc w:val="both"/>
        <w:rPr>
          <w:b/>
          <w:sz w:val="28"/>
          <w:szCs w:val="28"/>
          <w:u w:val="single"/>
        </w:rPr>
      </w:pPr>
    </w:p>
    <w:p w14:paraId="51A0AAFD" w14:textId="77777777" w:rsidR="007F2552" w:rsidRPr="00035635" w:rsidRDefault="007F2552" w:rsidP="00035635">
      <w:pPr>
        <w:pStyle w:val="ListParagraph"/>
        <w:numPr>
          <w:ilvl w:val="0"/>
          <w:numId w:val="1"/>
        </w:numPr>
        <w:jc w:val="both"/>
        <w:rPr>
          <w:rFonts w:ascii="Times New Roman" w:hAnsi="Times New Roman" w:cs="Times New Roman"/>
          <w:b/>
          <w:sz w:val="28"/>
          <w:szCs w:val="28"/>
          <w:u w:val="single"/>
        </w:rPr>
      </w:pPr>
      <w:r w:rsidRPr="00035635">
        <w:rPr>
          <w:rFonts w:ascii="Times New Roman" w:hAnsi="Times New Roman" w:cs="Times New Roman"/>
          <w:b/>
          <w:sz w:val="28"/>
          <w:szCs w:val="28"/>
          <w:u w:val="single"/>
        </w:rPr>
        <w:t>Freedom of Expression</w:t>
      </w:r>
    </w:p>
    <w:p w14:paraId="1BCC7A36" w14:textId="77777777" w:rsidR="007F2552" w:rsidRPr="00035635" w:rsidRDefault="007F2552" w:rsidP="00035635">
      <w:pPr>
        <w:jc w:val="both"/>
        <w:rPr>
          <w:b/>
          <w:sz w:val="28"/>
          <w:szCs w:val="28"/>
          <w:u w:val="single"/>
        </w:rPr>
      </w:pPr>
    </w:p>
    <w:p w14:paraId="0E793C57" w14:textId="77777777" w:rsidR="007F2552" w:rsidRPr="00035635" w:rsidRDefault="00577D47" w:rsidP="00035635">
      <w:pPr>
        <w:jc w:val="both"/>
        <w:rPr>
          <w:u w:val="single"/>
        </w:rPr>
      </w:pPr>
      <w:r w:rsidRPr="00035635">
        <w:rPr>
          <w:u w:val="single"/>
        </w:rPr>
        <w:t xml:space="preserve">The Constitutional Right to </w:t>
      </w:r>
      <w:r w:rsidR="007F2552" w:rsidRPr="00035635">
        <w:rPr>
          <w:u w:val="single"/>
        </w:rPr>
        <w:t>Freedom of Expression and Its Limitations</w:t>
      </w:r>
    </w:p>
    <w:p w14:paraId="5C0C9D76" w14:textId="77777777" w:rsidR="007F2552" w:rsidRPr="00035635" w:rsidRDefault="007F2552" w:rsidP="00035635">
      <w:pPr>
        <w:jc w:val="both"/>
        <w:rPr>
          <w:u w:val="single"/>
        </w:rPr>
      </w:pPr>
    </w:p>
    <w:p w14:paraId="6B01991F" w14:textId="77777777" w:rsidR="001A2014" w:rsidRPr="00035635" w:rsidRDefault="006B3684" w:rsidP="00035635">
      <w:pPr>
        <w:jc w:val="both"/>
      </w:pPr>
      <w:r w:rsidRPr="00035635">
        <w:t>Freedom of expression is an inherent human right recognized by most modern democracies</w:t>
      </w:r>
      <w:r w:rsidR="00EF7AE0" w:rsidRPr="00035635">
        <w:rPr>
          <w:rStyle w:val="FootnoteReference"/>
        </w:rPr>
        <w:footnoteReference w:id="1"/>
      </w:r>
      <w:r w:rsidR="006971EF" w:rsidRPr="00035635">
        <w:t xml:space="preserve"> </w:t>
      </w:r>
      <w:r w:rsidR="00FA59BE" w:rsidRPr="00035635">
        <w:t>and</w:t>
      </w:r>
      <w:r w:rsidR="006726F0" w:rsidRPr="00035635">
        <w:t xml:space="preserve"> encompasses</w:t>
      </w:r>
      <w:r w:rsidRPr="00035635">
        <w:t xml:space="preserve"> the liberty</w:t>
      </w:r>
      <w:r w:rsidR="006726F0" w:rsidRPr="00035635">
        <w:t xml:space="preserve"> to hold</w:t>
      </w:r>
      <w:r w:rsidR="00174778" w:rsidRPr="00035635">
        <w:t xml:space="preserve"> opinions and share and</w:t>
      </w:r>
      <w:r w:rsidRPr="00035635">
        <w:t>/or</w:t>
      </w:r>
      <w:r w:rsidR="00174778" w:rsidRPr="00035635">
        <w:t xml:space="preserve"> receive ideas and information</w:t>
      </w:r>
      <w:r w:rsidRPr="00035635">
        <w:t>. South Africa is no exception, and this right is prominently featured i</w:t>
      </w:r>
      <w:r w:rsidR="006726F0" w:rsidRPr="00035635">
        <w:t>n its Constitution</w:t>
      </w:r>
      <w:r w:rsidRPr="00035635">
        <w:t xml:space="preserve">. Section 16 of the Bill of Rights </w:t>
      </w:r>
      <w:r w:rsidR="00EE413C" w:rsidRPr="00035635">
        <w:t xml:space="preserve">specifically </w:t>
      </w:r>
      <w:r w:rsidRPr="00035635">
        <w:t xml:space="preserve">protects freedom of expression as it relates to: </w:t>
      </w:r>
    </w:p>
    <w:p w14:paraId="375C31A0" w14:textId="77777777" w:rsidR="001A2014" w:rsidRPr="00035635" w:rsidRDefault="00854977" w:rsidP="00035635">
      <w:pPr>
        <w:pStyle w:val="ListParagraph"/>
        <w:numPr>
          <w:ilvl w:val="0"/>
          <w:numId w:val="3"/>
        </w:numPr>
        <w:jc w:val="both"/>
        <w:rPr>
          <w:rFonts w:ascii="Times New Roman" w:hAnsi="Times New Roman" w:cs="Times New Roman"/>
        </w:rPr>
      </w:pPr>
      <w:r w:rsidRPr="00035635">
        <w:rPr>
          <w:rFonts w:ascii="Times New Roman" w:hAnsi="Times New Roman" w:cs="Times New Roman"/>
        </w:rPr>
        <w:t>freedom of the press and other media</w:t>
      </w:r>
      <w:r w:rsidR="006B3684" w:rsidRPr="00035635">
        <w:rPr>
          <w:rFonts w:ascii="Times New Roman" w:hAnsi="Times New Roman" w:cs="Times New Roman"/>
        </w:rPr>
        <w:t xml:space="preserve">; </w:t>
      </w:r>
    </w:p>
    <w:p w14:paraId="66E8883C" w14:textId="77777777" w:rsidR="001A2014" w:rsidRPr="00035635" w:rsidRDefault="00854977" w:rsidP="00035635">
      <w:pPr>
        <w:pStyle w:val="ListParagraph"/>
        <w:numPr>
          <w:ilvl w:val="0"/>
          <w:numId w:val="3"/>
        </w:numPr>
        <w:jc w:val="both"/>
        <w:rPr>
          <w:rFonts w:ascii="Times New Roman" w:hAnsi="Times New Roman" w:cs="Times New Roman"/>
        </w:rPr>
      </w:pPr>
      <w:r w:rsidRPr="00035635">
        <w:rPr>
          <w:rFonts w:ascii="Times New Roman" w:hAnsi="Times New Roman" w:cs="Times New Roman"/>
        </w:rPr>
        <w:t>freedom to receive or impart information and ideas</w:t>
      </w:r>
      <w:r w:rsidR="006B3684" w:rsidRPr="00035635">
        <w:rPr>
          <w:rFonts w:ascii="Times New Roman" w:hAnsi="Times New Roman" w:cs="Times New Roman"/>
        </w:rPr>
        <w:t xml:space="preserve">; </w:t>
      </w:r>
    </w:p>
    <w:p w14:paraId="01BF6015" w14:textId="77777777" w:rsidR="001A2014" w:rsidRPr="00035635" w:rsidRDefault="00854977" w:rsidP="00035635">
      <w:pPr>
        <w:pStyle w:val="ListParagraph"/>
        <w:numPr>
          <w:ilvl w:val="0"/>
          <w:numId w:val="3"/>
        </w:numPr>
        <w:jc w:val="both"/>
        <w:rPr>
          <w:rFonts w:ascii="Times New Roman" w:hAnsi="Times New Roman" w:cs="Times New Roman"/>
        </w:rPr>
      </w:pPr>
      <w:r w:rsidRPr="00035635">
        <w:rPr>
          <w:rFonts w:ascii="Times New Roman" w:hAnsi="Times New Roman" w:cs="Times New Roman"/>
        </w:rPr>
        <w:t xml:space="preserve">freedom of artistic creativity; and </w:t>
      </w:r>
    </w:p>
    <w:p w14:paraId="25D5C9E4" w14:textId="77777777" w:rsidR="001A2014" w:rsidRPr="00035635" w:rsidRDefault="00854977" w:rsidP="00035635">
      <w:pPr>
        <w:pStyle w:val="ListParagraph"/>
        <w:numPr>
          <w:ilvl w:val="0"/>
          <w:numId w:val="3"/>
        </w:numPr>
        <w:jc w:val="both"/>
        <w:rPr>
          <w:rFonts w:ascii="Times New Roman" w:hAnsi="Times New Roman" w:cs="Times New Roman"/>
        </w:rPr>
      </w:pPr>
      <w:r w:rsidRPr="00035635">
        <w:rPr>
          <w:rFonts w:ascii="Times New Roman" w:hAnsi="Times New Roman" w:cs="Times New Roman"/>
        </w:rPr>
        <w:t>academic freedom and freedom of scientific research</w:t>
      </w:r>
      <w:r w:rsidR="006B3684" w:rsidRPr="00035635">
        <w:rPr>
          <w:rFonts w:ascii="Times New Roman" w:hAnsi="Times New Roman" w:cs="Times New Roman"/>
        </w:rPr>
        <w:t xml:space="preserve">. </w:t>
      </w:r>
    </w:p>
    <w:p w14:paraId="15AEF584" w14:textId="77777777" w:rsidR="00035635" w:rsidRDefault="00035635" w:rsidP="00035635">
      <w:pPr>
        <w:jc w:val="both"/>
      </w:pPr>
    </w:p>
    <w:p w14:paraId="740D9095" w14:textId="77777777" w:rsidR="00174778" w:rsidRPr="00035635" w:rsidRDefault="00854977" w:rsidP="00035635">
      <w:pPr>
        <w:jc w:val="both"/>
      </w:pPr>
      <w:r w:rsidRPr="00035635">
        <w:t>At times, this right can be in tension with others enshrined in</w:t>
      </w:r>
      <w:r w:rsidR="00EE413C" w:rsidRPr="00035635">
        <w:t xml:space="preserve"> the Constitution—</w:t>
      </w:r>
      <w:r w:rsidRPr="00035635">
        <w:t>notably the right to dignity (section 10) and equality (section 9). However, in South Africa, freedom of expression is not explic</w:t>
      </w:r>
      <w:r w:rsidR="00EE413C" w:rsidRPr="00035635">
        <w:t xml:space="preserve">itly subordinate to these </w:t>
      </w:r>
      <w:r w:rsidRPr="00035635">
        <w:t>rights and should not be treated as</w:t>
      </w:r>
      <w:r w:rsidR="001A2014" w:rsidRPr="00035635">
        <w:t xml:space="preserve"> such</w:t>
      </w:r>
      <w:r w:rsidRPr="00035635">
        <w:t>.</w:t>
      </w:r>
      <w:r w:rsidR="001A2014" w:rsidRPr="00035635">
        <w:rPr>
          <w:rStyle w:val="FootnoteReference"/>
        </w:rPr>
        <w:footnoteReference w:id="2"/>
      </w:r>
      <w:r w:rsidRPr="00035635">
        <w:t xml:space="preserve"> </w:t>
      </w:r>
    </w:p>
    <w:p w14:paraId="477096D8" w14:textId="77777777" w:rsidR="00047FC0" w:rsidRPr="00035635" w:rsidRDefault="00047FC0" w:rsidP="00035635">
      <w:pPr>
        <w:jc w:val="both"/>
      </w:pPr>
    </w:p>
    <w:p w14:paraId="4557B9E8" w14:textId="77777777" w:rsidR="00C872A8" w:rsidRPr="00035635" w:rsidRDefault="006378F9" w:rsidP="00035635">
      <w:pPr>
        <w:jc w:val="both"/>
      </w:pPr>
      <w:r w:rsidRPr="00035635">
        <w:t>The Constitution itself</w:t>
      </w:r>
      <w:r w:rsidR="006726F0" w:rsidRPr="00035635">
        <w:t xml:space="preserve"> </w:t>
      </w:r>
      <w:r w:rsidR="00EE413C" w:rsidRPr="00035635">
        <w:t>set</w:t>
      </w:r>
      <w:r w:rsidRPr="00035635">
        <w:t>s</w:t>
      </w:r>
      <w:r w:rsidR="00B578C9" w:rsidRPr="00035635">
        <w:t xml:space="preserve"> certain limitations</w:t>
      </w:r>
      <w:r w:rsidR="00EE413C" w:rsidRPr="00035635">
        <w:t xml:space="preserve"> on</w:t>
      </w:r>
      <w:r w:rsidR="00854977" w:rsidRPr="00035635">
        <w:t xml:space="preserve"> freedom of expressio</w:t>
      </w:r>
      <w:r w:rsidR="006726F0" w:rsidRPr="00035635">
        <w:t xml:space="preserve">n </w:t>
      </w:r>
      <w:r w:rsidR="00EE413C" w:rsidRPr="00035635">
        <w:t xml:space="preserve">as outlined in </w:t>
      </w:r>
      <w:r w:rsidR="00EE413C" w:rsidRPr="00035635">
        <w:rPr>
          <w:i/>
        </w:rPr>
        <w:t>s</w:t>
      </w:r>
      <w:r w:rsidR="00EE413C" w:rsidRPr="00035635">
        <w:t>16(2) and</w:t>
      </w:r>
      <w:r w:rsidR="006726F0" w:rsidRPr="00035635">
        <w:t xml:space="preserve"> does not protect</w:t>
      </w:r>
      <w:r w:rsidR="00EE413C" w:rsidRPr="00035635">
        <w:t>:</w:t>
      </w:r>
      <w:r w:rsidR="006726F0" w:rsidRPr="00035635">
        <w:t xml:space="preserve"> </w:t>
      </w:r>
    </w:p>
    <w:p w14:paraId="5183C02A" w14:textId="77777777" w:rsidR="00C872A8" w:rsidRPr="00035635" w:rsidRDefault="006726F0" w:rsidP="00035635">
      <w:pPr>
        <w:pStyle w:val="ListParagraph"/>
        <w:numPr>
          <w:ilvl w:val="0"/>
          <w:numId w:val="4"/>
        </w:numPr>
        <w:jc w:val="both"/>
        <w:rPr>
          <w:rFonts w:ascii="Times New Roman" w:hAnsi="Times New Roman" w:cs="Times New Roman"/>
        </w:rPr>
      </w:pPr>
      <w:r w:rsidRPr="00035635">
        <w:rPr>
          <w:rFonts w:ascii="Times New Roman" w:hAnsi="Times New Roman" w:cs="Times New Roman"/>
        </w:rPr>
        <w:t xml:space="preserve">propaganda for war; </w:t>
      </w:r>
    </w:p>
    <w:p w14:paraId="466FDEA7" w14:textId="77777777" w:rsidR="00C872A8" w:rsidRPr="00035635" w:rsidRDefault="006726F0" w:rsidP="00035635">
      <w:pPr>
        <w:pStyle w:val="ListParagraph"/>
        <w:numPr>
          <w:ilvl w:val="0"/>
          <w:numId w:val="4"/>
        </w:numPr>
        <w:jc w:val="both"/>
        <w:rPr>
          <w:rFonts w:ascii="Times New Roman" w:hAnsi="Times New Roman" w:cs="Times New Roman"/>
        </w:rPr>
      </w:pPr>
      <w:r w:rsidRPr="00035635">
        <w:rPr>
          <w:rFonts w:ascii="Times New Roman" w:hAnsi="Times New Roman" w:cs="Times New Roman"/>
        </w:rPr>
        <w:t xml:space="preserve">incitement of imminent violence; or  </w:t>
      </w:r>
    </w:p>
    <w:p w14:paraId="4CBD8CE0" w14:textId="77777777" w:rsidR="00C872A8" w:rsidRPr="00035635" w:rsidRDefault="006726F0" w:rsidP="00035635">
      <w:pPr>
        <w:pStyle w:val="ListParagraph"/>
        <w:numPr>
          <w:ilvl w:val="0"/>
          <w:numId w:val="4"/>
        </w:numPr>
        <w:jc w:val="both"/>
        <w:rPr>
          <w:rFonts w:ascii="Times New Roman" w:hAnsi="Times New Roman" w:cs="Times New Roman"/>
        </w:rPr>
      </w:pPr>
      <w:r w:rsidRPr="00035635">
        <w:rPr>
          <w:rFonts w:ascii="Times New Roman" w:hAnsi="Times New Roman" w:cs="Times New Roman"/>
        </w:rPr>
        <w:t>advocacy of hatred that is based on race, ethnicity, gender or religion and that constitutes incitement to cause harm</w:t>
      </w:r>
      <w:r w:rsidR="00854977" w:rsidRPr="00035635">
        <w:rPr>
          <w:rFonts w:ascii="Times New Roman" w:hAnsi="Times New Roman" w:cs="Times New Roman"/>
        </w:rPr>
        <w:t xml:space="preserve">. </w:t>
      </w:r>
    </w:p>
    <w:p w14:paraId="1ED24FE8" w14:textId="77777777" w:rsidR="00035635" w:rsidRDefault="00035635" w:rsidP="00035635">
      <w:pPr>
        <w:jc w:val="both"/>
      </w:pPr>
    </w:p>
    <w:p w14:paraId="05504BA8" w14:textId="77777777" w:rsidR="000A6647" w:rsidRPr="00035635" w:rsidRDefault="00854977" w:rsidP="00035635">
      <w:pPr>
        <w:jc w:val="both"/>
      </w:pPr>
      <w:r w:rsidRPr="00035635">
        <w:t>From the constitutional text, t</w:t>
      </w:r>
      <w:r w:rsidR="006726F0" w:rsidRPr="00035635">
        <w:t>hese limitations appear</w:t>
      </w:r>
      <w:r w:rsidR="00EE413C" w:rsidRPr="00035635">
        <w:t xml:space="preserve"> quite</w:t>
      </w:r>
      <w:r w:rsidR="006726F0" w:rsidRPr="00035635">
        <w:t xml:space="preserve"> narrow, likely stemming from lesso</w:t>
      </w:r>
      <w:r w:rsidR="00EE413C" w:rsidRPr="00035635">
        <w:t xml:space="preserve">ns </w:t>
      </w:r>
      <w:r w:rsidR="00830F1E" w:rsidRPr="00035635">
        <w:t>acquired</w:t>
      </w:r>
      <w:r w:rsidR="00EE413C" w:rsidRPr="00035635">
        <w:t xml:space="preserve"> during the apartheid-</w:t>
      </w:r>
      <w:r w:rsidR="006726F0" w:rsidRPr="00035635">
        <w:t>era</w:t>
      </w:r>
      <w:r w:rsidR="00EE413C" w:rsidRPr="00035635">
        <w:t>,</w:t>
      </w:r>
      <w:r w:rsidR="006726F0" w:rsidRPr="00035635">
        <w:t xml:space="preserve"> when the </w:t>
      </w:r>
      <w:r w:rsidR="00EE413C" w:rsidRPr="00035635">
        <w:t>regime used restrictions on speech</w:t>
      </w:r>
      <w:r w:rsidR="006726F0" w:rsidRPr="00035635">
        <w:t xml:space="preserve"> as a tool to prevent political c</w:t>
      </w:r>
      <w:r w:rsidR="00830F1E" w:rsidRPr="00035635">
        <w:t>riticism</w:t>
      </w:r>
      <w:r w:rsidR="006726F0" w:rsidRPr="00035635">
        <w:t>.</w:t>
      </w:r>
      <w:r w:rsidR="00830F1E" w:rsidRPr="00035635">
        <w:rPr>
          <w:rStyle w:val="FootnoteReference"/>
        </w:rPr>
        <w:footnoteReference w:id="3"/>
      </w:r>
      <w:r w:rsidR="00DC4D23" w:rsidRPr="00035635">
        <w:t xml:space="preserve"> </w:t>
      </w:r>
      <w:r w:rsidR="00BD59E3" w:rsidRPr="00035635">
        <w:t xml:space="preserve">As decided in </w:t>
      </w:r>
      <w:r w:rsidR="00BD59E3" w:rsidRPr="00035635">
        <w:rPr>
          <w:i/>
        </w:rPr>
        <w:t>Islamic Unity Convention</w:t>
      </w:r>
      <w:r w:rsidR="00C91542" w:rsidRPr="00035635">
        <w:t>,</w:t>
      </w:r>
      <w:r w:rsidR="00C91542" w:rsidRPr="00035635">
        <w:rPr>
          <w:rStyle w:val="FootnoteReference"/>
        </w:rPr>
        <w:footnoteReference w:id="4"/>
      </w:r>
      <w:r w:rsidR="00C91542" w:rsidRPr="00035635">
        <w:t xml:space="preserve"> </w:t>
      </w:r>
      <w:r w:rsidR="00BD59E3" w:rsidRPr="00035635">
        <w:t>a</w:t>
      </w:r>
      <w:r w:rsidR="00921633" w:rsidRPr="00035635">
        <w:t>dditional</w:t>
      </w:r>
      <w:r w:rsidR="006E3C7F" w:rsidRPr="00035635">
        <w:t xml:space="preserve"> limitations</w:t>
      </w:r>
      <w:r w:rsidR="006F4153" w:rsidRPr="00035635">
        <w:t xml:space="preserve"> to freedom of expression</w:t>
      </w:r>
      <w:r w:rsidR="006E3C7F" w:rsidRPr="00035635">
        <w:t xml:space="preserve"> may</w:t>
      </w:r>
      <w:r w:rsidR="00BB3FE3" w:rsidRPr="00035635">
        <w:t xml:space="preserve"> </w:t>
      </w:r>
      <w:r w:rsidR="001B7DFD" w:rsidRPr="00035635">
        <w:t xml:space="preserve">also </w:t>
      </w:r>
      <w:r w:rsidR="008365EA" w:rsidRPr="00035635">
        <w:t xml:space="preserve">be applied </w:t>
      </w:r>
      <w:r w:rsidR="00F71713" w:rsidRPr="00035635">
        <w:t xml:space="preserve">as long as they </w:t>
      </w:r>
      <w:r w:rsidR="007422C6" w:rsidRPr="00035635">
        <w:t>consider</w:t>
      </w:r>
      <w:r w:rsidR="00800CD0" w:rsidRPr="00035635">
        <w:t xml:space="preserve"> </w:t>
      </w:r>
      <w:r w:rsidR="00F41CF9" w:rsidRPr="00035635">
        <w:t xml:space="preserve">all relevant </w:t>
      </w:r>
      <w:r w:rsidR="00800CD0" w:rsidRPr="00035635">
        <w:t xml:space="preserve">factors laid out </w:t>
      </w:r>
      <w:r w:rsidR="00800CD0" w:rsidRPr="00035635">
        <w:rPr>
          <w:i/>
        </w:rPr>
        <w:t>s</w:t>
      </w:r>
      <w:r w:rsidR="00114DC1" w:rsidRPr="00035635">
        <w:t>36</w:t>
      </w:r>
      <w:r w:rsidR="00E41124" w:rsidRPr="00035635">
        <w:t>,</w:t>
      </w:r>
      <w:r w:rsidR="0093198C" w:rsidRPr="00035635">
        <w:t xml:space="preserve"> including</w:t>
      </w:r>
      <w:r w:rsidR="000A6647" w:rsidRPr="00035635">
        <w:t>:</w:t>
      </w:r>
      <w:r w:rsidR="00756795" w:rsidRPr="00035635">
        <w:rPr>
          <w:rStyle w:val="FootnoteReference"/>
        </w:rPr>
        <w:t xml:space="preserve"> </w:t>
      </w:r>
    </w:p>
    <w:p w14:paraId="74730D5F" w14:textId="77777777" w:rsidR="000A6647" w:rsidRPr="00035635" w:rsidRDefault="009C4590" w:rsidP="00035635">
      <w:pPr>
        <w:pStyle w:val="ListParagraph"/>
        <w:numPr>
          <w:ilvl w:val="0"/>
          <w:numId w:val="6"/>
        </w:numPr>
        <w:jc w:val="both"/>
        <w:rPr>
          <w:rFonts w:ascii="Times New Roman" w:hAnsi="Times New Roman" w:cs="Times New Roman"/>
        </w:rPr>
      </w:pPr>
      <w:r w:rsidRPr="00035635">
        <w:rPr>
          <w:rFonts w:ascii="Times New Roman" w:hAnsi="Times New Roman" w:cs="Times New Roman"/>
        </w:rPr>
        <w:t xml:space="preserve">the nature of the right; </w:t>
      </w:r>
    </w:p>
    <w:p w14:paraId="7CD4EF31" w14:textId="77777777" w:rsidR="000A6647" w:rsidRPr="00035635" w:rsidRDefault="009C4590" w:rsidP="00035635">
      <w:pPr>
        <w:pStyle w:val="ListParagraph"/>
        <w:numPr>
          <w:ilvl w:val="0"/>
          <w:numId w:val="6"/>
        </w:numPr>
        <w:jc w:val="both"/>
        <w:rPr>
          <w:rFonts w:ascii="Times New Roman" w:hAnsi="Times New Roman" w:cs="Times New Roman"/>
        </w:rPr>
      </w:pPr>
      <w:r w:rsidRPr="00035635">
        <w:rPr>
          <w:rFonts w:ascii="Times New Roman" w:hAnsi="Times New Roman" w:cs="Times New Roman"/>
        </w:rPr>
        <w:t xml:space="preserve">the importance of the purpose of the limitation; </w:t>
      </w:r>
    </w:p>
    <w:p w14:paraId="0FE92A68" w14:textId="77777777" w:rsidR="000A6647" w:rsidRPr="00035635" w:rsidRDefault="009C4590" w:rsidP="00035635">
      <w:pPr>
        <w:pStyle w:val="ListParagraph"/>
        <w:numPr>
          <w:ilvl w:val="0"/>
          <w:numId w:val="6"/>
        </w:numPr>
        <w:jc w:val="both"/>
        <w:rPr>
          <w:rFonts w:ascii="Times New Roman" w:hAnsi="Times New Roman" w:cs="Times New Roman"/>
        </w:rPr>
      </w:pPr>
      <w:r w:rsidRPr="00035635">
        <w:rPr>
          <w:rFonts w:ascii="Times New Roman" w:hAnsi="Times New Roman" w:cs="Times New Roman"/>
        </w:rPr>
        <w:lastRenderedPageBreak/>
        <w:t>the nature and extent of the limitation</w:t>
      </w:r>
      <w:r w:rsidR="00712447" w:rsidRPr="00035635">
        <w:rPr>
          <w:rFonts w:ascii="Times New Roman" w:hAnsi="Times New Roman" w:cs="Times New Roman"/>
        </w:rPr>
        <w:t xml:space="preserve">; </w:t>
      </w:r>
    </w:p>
    <w:p w14:paraId="7F0C9824" w14:textId="77777777" w:rsidR="000A6647" w:rsidRPr="00035635" w:rsidRDefault="00712447" w:rsidP="00035635">
      <w:pPr>
        <w:pStyle w:val="ListParagraph"/>
        <w:numPr>
          <w:ilvl w:val="0"/>
          <w:numId w:val="6"/>
        </w:numPr>
        <w:jc w:val="both"/>
        <w:rPr>
          <w:rFonts w:ascii="Times New Roman" w:hAnsi="Times New Roman" w:cs="Times New Roman"/>
        </w:rPr>
      </w:pPr>
      <w:r w:rsidRPr="00035635">
        <w:rPr>
          <w:rFonts w:ascii="Times New Roman" w:hAnsi="Times New Roman" w:cs="Times New Roman"/>
        </w:rPr>
        <w:t xml:space="preserve">the relation between the limitation and its purpose; and </w:t>
      </w:r>
    </w:p>
    <w:p w14:paraId="21359E68" w14:textId="77777777" w:rsidR="00EE0407" w:rsidRPr="00035635" w:rsidRDefault="00712447" w:rsidP="00035635">
      <w:pPr>
        <w:pStyle w:val="ListParagraph"/>
        <w:numPr>
          <w:ilvl w:val="0"/>
          <w:numId w:val="6"/>
        </w:numPr>
        <w:jc w:val="both"/>
        <w:rPr>
          <w:rFonts w:ascii="Times New Roman" w:hAnsi="Times New Roman" w:cs="Times New Roman"/>
        </w:rPr>
      </w:pPr>
      <w:r w:rsidRPr="00035635">
        <w:rPr>
          <w:rFonts w:ascii="Times New Roman" w:hAnsi="Times New Roman" w:cs="Times New Roman"/>
        </w:rPr>
        <w:t>less restrictive means to achieve the purpose</w:t>
      </w:r>
      <w:r w:rsidR="00DC50B3" w:rsidRPr="00035635">
        <w:rPr>
          <w:rFonts w:ascii="Times New Roman" w:hAnsi="Times New Roman" w:cs="Times New Roman"/>
        </w:rPr>
        <w:t>.</w:t>
      </w:r>
    </w:p>
    <w:p w14:paraId="210AC30A" w14:textId="77777777" w:rsidR="003447BC" w:rsidRPr="00035635" w:rsidRDefault="006B3684" w:rsidP="00035635">
      <w:pPr>
        <w:jc w:val="both"/>
      </w:pPr>
      <w:r w:rsidRPr="00035635">
        <w:tab/>
      </w:r>
      <w:r w:rsidR="007F2552" w:rsidRPr="00035635">
        <w:tab/>
      </w:r>
    </w:p>
    <w:p w14:paraId="34E92682" w14:textId="77777777" w:rsidR="000802A1" w:rsidRPr="00035635" w:rsidRDefault="007F2552" w:rsidP="00035635">
      <w:pPr>
        <w:jc w:val="both"/>
        <w:rPr>
          <w:u w:val="single"/>
        </w:rPr>
      </w:pPr>
      <w:r w:rsidRPr="00035635">
        <w:rPr>
          <w:u w:val="single"/>
        </w:rPr>
        <w:t>The Importance of Freedom of Expression</w:t>
      </w:r>
    </w:p>
    <w:p w14:paraId="6F7714D4" w14:textId="77777777" w:rsidR="000802A1" w:rsidRPr="00035635" w:rsidRDefault="000802A1" w:rsidP="00035635">
      <w:pPr>
        <w:jc w:val="both"/>
        <w:rPr>
          <w:u w:val="single"/>
        </w:rPr>
      </w:pPr>
    </w:p>
    <w:p w14:paraId="4666ED6B" w14:textId="77777777" w:rsidR="007F2552" w:rsidRPr="00035635" w:rsidRDefault="00507532" w:rsidP="00035635">
      <w:pPr>
        <w:jc w:val="both"/>
        <w:rPr>
          <w:u w:val="single"/>
        </w:rPr>
      </w:pPr>
      <w:r w:rsidRPr="00035635">
        <w:t>While</w:t>
      </w:r>
      <w:r w:rsidR="006726F0" w:rsidRPr="00035635">
        <w:t xml:space="preserve"> the Constitution protects almost all expression, </w:t>
      </w:r>
      <w:r w:rsidR="006B27B1" w:rsidRPr="00035635">
        <w:t>governmental bodies</w:t>
      </w:r>
      <w:r w:rsidR="00101424" w:rsidRPr="00035635">
        <w:t xml:space="preserve"> have</w:t>
      </w:r>
      <w:r w:rsidR="006726F0" w:rsidRPr="00035635">
        <w:t xml:space="preserve"> broadened limitations beyond </w:t>
      </w:r>
      <w:r w:rsidR="006726F0" w:rsidRPr="00035635">
        <w:rPr>
          <w:i/>
        </w:rPr>
        <w:t>s</w:t>
      </w:r>
      <w:r w:rsidR="006B27B1" w:rsidRPr="00035635">
        <w:t>16(2),</w:t>
      </w:r>
      <w:r w:rsidR="009B4ABE" w:rsidRPr="00035635">
        <w:t xml:space="preserve"> which is</w:t>
      </w:r>
      <w:r w:rsidR="006B27B1" w:rsidRPr="00035635">
        <w:t xml:space="preserve"> </w:t>
      </w:r>
      <w:r w:rsidR="006726F0" w:rsidRPr="00035635">
        <w:t xml:space="preserve">greatly concerning for democratic vitality. </w:t>
      </w:r>
      <w:r w:rsidR="00174778" w:rsidRPr="00035635">
        <w:t>Freedom of expression</w:t>
      </w:r>
      <w:r w:rsidR="006E5A6D" w:rsidRPr="00035635">
        <w:t xml:space="preserve"> </w:t>
      </w:r>
      <w:r w:rsidR="000D461C" w:rsidRPr="00035635">
        <w:t xml:space="preserve">is essential to </w:t>
      </w:r>
      <w:r w:rsidR="006E5A6D" w:rsidRPr="00035635">
        <w:t>a fully-functioning democra</w:t>
      </w:r>
      <w:r w:rsidR="00EE413C" w:rsidRPr="00035635">
        <w:t>cy</w:t>
      </w:r>
      <w:r w:rsidR="006E5A6D" w:rsidRPr="00035635">
        <w:t>, ensuring that minority, as well as ma</w:t>
      </w:r>
      <w:r w:rsidR="00DE72B3" w:rsidRPr="00035635">
        <w:t>jority, groups</w:t>
      </w:r>
      <w:r w:rsidR="006E5A6D" w:rsidRPr="00035635">
        <w:t xml:space="preserve"> have the opportunity to express the</w:t>
      </w:r>
      <w:r w:rsidR="00577D47" w:rsidRPr="00035635">
        <w:t xml:space="preserve">mselves in </w:t>
      </w:r>
      <w:r w:rsidR="006726F0" w:rsidRPr="00035635">
        <w:t>the socio-political sphere</w:t>
      </w:r>
      <w:r w:rsidR="00577D47" w:rsidRPr="00035635">
        <w:t>. By facilitating discussion around different views—including those that are painful or even offensive—freedom of expression provides for thoughtful administrative decision-making and unlocks the potential to identify</w:t>
      </w:r>
      <w:r w:rsidR="00174778" w:rsidRPr="00035635">
        <w:t xml:space="preserve"> lingering intolerance</w:t>
      </w:r>
      <w:r w:rsidR="00DE72B3" w:rsidRPr="00035635">
        <w:t>s</w:t>
      </w:r>
      <w:r w:rsidR="00174778" w:rsidRPr="00035635">
        <w:t xml:space="preserve"> plaguing South African society as well as</w:t>
      </w:r>
      <w:r w:rsidR="00577D47" w:rsidRPr="00035635">
        <w:t xml:space="preserve"> </w:t>
      </w:r>
      <w:r w:rsidR="00DE72B3" w:rsidRPr="00035635">
        <w:t>remedies for past injustices. W</w:t>
      </w:r>
      <w:r w:rsidR="00577D47" w:rsidRPr="00035635">
        <w:t>hile some</w:t>
      </w:r>
      <w:r w:rsidR="00174778" w:rsidRPr="00035635">
        <w:t xml:space="preserve"> critics</w:t>
      </w:r>
      <w:r w:rsidR="00577D47" w:rsidRPr="00035635">
        <w:t xml:space="preserve"> may argue for restrictio</w:t>
      </w:r>
      <w:r w:rsidR="00174778" w:rsidRPr="00035635">
        <w:t>ns beyond those identified in the Constitution</w:t>
      </w:r>
      <w:r w:rsidR="005835A8" w:rsidRPr="00035635">
        <w:t xml:space="preserve"> (see </w:t>
      </w:r>
      <w:r w:rsidR="00577D47" w:rsidRPr="00035635">
        <w:rPr>
          <w:i/>
        </w:rPr>
        <w:t>s</w:t>
      </w:r>
      <w:r w:rsidR="00577D47" w:rsidRPr="00035635">
        <w:t>16(2)</w:t>
      </w:r>
      <w:r w:rsidR="00363060" w:rsidRPr="00035635">
        <w:t xml:space="preserve"> above)</w:t>
      </w:r>
      <w:r w:rsidR="00577D47" w:rsidRPr="00035635">
        <w:t>, relying on</w:t>
      </w:r>
      <w:r w:rsidR="00174778" w:rsidRPr="00035635">
        <w:t xml:space="preserve"> arguments regarding</w:t>
      </w:r>
      <w:r w:rsidR="00577D47" w:rsidRPr="00035635">
        <w:t xml:space="preserve"> the </w:t>
      </w:r>
      <w:r w:rsidR="006B27B1" w:rsidRPr="00035635">
        <w:t>protection of human dignity (</w:t>
      </w:r>
      <w:r w:rsidR="00577D47" w:rsidRPr="00035635">
        <w:rPr>
          <w:i/>
        </w:rPr>
        <w:t>s</w:t>
      </w:r>
      <w:r w:rsidR="00577D47" w:rsidRPr="00035635">
        <w:t xml:space="preserve">7(1) and </w:t>
      </w:r>
      <w:r w:rsidR="00577D47" w:rsidRPr="00035635">
        <w:rPr>
          <w:i/>
        </w:rPr>
        <w:t>s</w:t>
      </w:r>
      <w:r w:rsidR="00577D47" w:rsidRPr="00035635">
        <w:t>10), such attempts must generally be rebuffed in recognition of the symbiotic relationship between demo</w:t>
      </w:r>
      <w:r w:rsidR="00854977" w:rsidRPr="00035635">
        <w:t>cracy and freedom of expression</w:t>
      </w:r>
      <w:r w:rsidR="00931CD0" w:rsidRPr="00035635">
        <w:t xml:space="preserve">. </w:t>
      </w:r>
    </w:p>
    <w:p w14:paraId="75AF0AFE" w14:textId="77777777" w:rsidR="007F2552" w:rsidRPr="00035635" w:rsidRDefault="007F2552" w:rsidP="00035635">
      <w:pPr>
        <w:jc w:val="both"/>
        <w:rPr>
          <w:b/>
          <w:u w:val="single"/>
        </w:rPr>
      </w:pPr>
    </w:p>
    <w:p w14:paraId="5745AC68" w14:textId="77777777" w:rsidR="007F2552" w:rsidRPr="00035635" w:rsidRDefault="007F2552" w:rsidP="00035635">
      <w:pPr>
        <w:pStyle w:val="ListParagraph"/>
        <w:numPr>
          <w:ilvl w:val="0"/>
          <w:numId w:val="1"/>
        </w:numPr>
        <w:jc w:val="both"/>
        <w:rPr>
          <w:rFonts w:ascii="Times New Roman" w:hAnsi="Times New Roman" w:cs="Times New Roman"/>
          <w:b/>
          <w:sz w:val="28"/>
          <w:szCs w:val="28"/>
          <w:u w:val="single"/>
        </w:rPr>
      </w:pPr>
      <w:r w:rsidRPr="00035635">
        <w:rPr>
          <w:rFonts w:ascii="Times New Roman" w:hAnsi="Times New Roman" w:cs="Times New Roman"/>
          <w:b/>
          <w:sz w:val="28"/>
          <w:szCs w:val="28"/>
          <w:u w:val="single"/>
        </w:rPr>
        <w:t xml:space="preserve">Hate Speech as a Limitation on Freedom of Expression </w:t>
      </w:r>
    </w:p>
    <w:p w14:paraId="26F3EE9F" w14:textId="77777777" w:rsidR="007F2552" w:rsidRPr="00035635" w:rsidRDefault="007F2552" w:rsidP="00035635">
      <w:pPr>
        <w:jc w:val="both"/>
        <w:rPr>
          <w:b/>
          <w:sz w:val="28"/>
          <w:szCs w:val="28"/>
          <w:u w:val="single"/>
        </w:rPr>
      </w:pPr>
    </w:p>
    <w:p w14:paraId="7715FF42" w14:textId="77777777" w:rsidR="007F2552" w:rsidRPr="00035635" w:rsidRDefault="00C1291C" w:rsidP="00035635">
      <w:pPr>
        <w:jc w:val="both"/>
        <w:rPr>
          <w:u w:val="single"/>
        </w:rPr>
      </w:pPr>
      <w:r w:rsidRPr="00035635">
        <w:rPr>
          <w:u w:val="single"/>
        </w:rPr>
        <w:t xml:space="preserve">Problems with </w:t>
      </w:r>
      <w:r w:rsidR="007F2552" w:rsidRPr="00035635">
        <w:rPr>
          <w:u w:val="single"/>
        </w:rPr>
        <w:t xml:space="preserve">Defining Hate Speech in South Africa </w:t>
      </w:r>
    </w:p>
    <w:p w14:paraId="21EE7B58" w14:textId="77777777" w:rsidR="007F2552" w:rsidRPr="00035635" w:rsidRDefault="007F2552" w:rsidP="00035635">
      <w:pPr>
        <w:jc w:val="both"/>
        <w:rPr>
          <w:u w:val="single"/>
        </w:rPr>
      </w:pPr>
    </w:p>
    <w:p w14:paraId="54FE95E4" w14:textId="77777777" w:rsidR="00854977" w:rsidRPr="00035635" w:rsidRDefault="00FA59BE" w:rsidP="00035635">
      <w:pPr>
        <w:jc w:val="both"/>
      </w:pPr>
      <w:r w:rsidRPr="00035635">
        <w:t xml:space="preserve">In South Africa, no formal definition of </w:t>
      </w:r>
      <w:r w:rsidR="00B67D44" w:rsidRPr="00035635">
        <w:t>hate speech exists, which has arguably lead to the continual broadening of what “hate speech” encompasses or how it might be expressed within South African law.</w:t>
      </w:r>
      <w:r w:rsidR="00B349CF" w:rsidRPr="00035635">
        <w:rPr>
          <w:rStyle w:val="FootnoteReference"/>
        </w:rPr>
        <w:footnoteReference w:id="5"/>
      </w:r>
      <w:r w:rsidR="00B349CF" w:rsidRPr="00035635">
        <w:t xml:space="preserve"> T</w:t>
      </w:r>
      <w:r w:rsidR="00B67D44" w:rsidRPr="00035635">
        <w:t>he government has</w:t>
      </w:r>
      <w:r w:rsidR="00B349CF" w:rsidRPr="00035635">
        <w:t xml:space="preserve"> recently</w:t>
      </w:r>
      <w:r w:rsidR="00B67D44" w:rsidRPr="00035635">
        <w:t xml:space="preserve"> even called for the criminalization of certain forms of hate speech, making </w:t>
      </w:r>
      <w:r w:rsidR="004646EA" w:rsidRPr="00035635">
        <w:t xml:space="preserve">a </w:t>
      </w:r>
      <w:r w:rsidR="006F725E" w:rsidRPr="00035635">
        <w:t xml:space="preserve">cohesive understanding of its parameters </w:t>
      </w:r>
      <w:r w:rsidR="009805ED" w:rsidRPr="00035635">
        <w:t>even more important</w:t>
      </w:r>
      <w:r w:rsidR="00B67D44" w:rsidRPr="00035635">
        <w:t>.</w:t>
      </w:r>
      <w:r w:rsidR="00254404" w:rsidRPr="00035635">
        <w:rPr>
          <w:rStyle w:val="FootnoteReference"/>
        </w:rPr>
        <w:footnoteReference w:id="6"/>
      </w:r>
      <w:r w:rsidR="00B67D44" w:rsidRPr="00035635">
        <w:t xml:space="preserve"> </w:t>
      </w:r>
      <w:r w:rsidR="004646EA" w:rsidRPr="00035635">
        <w:t>The South African impulse to</w:t>
      </w:r>
      <w:r w:rsidR="009805ED" w:rsidRPr="00035635">
        <w:t xml:space="preserve"> </w:t>
      </w:r>
      <w:r w:rsidR="006F725E" w:rsidRPr="00035635">
        <w:t>extend the scope of hate speech is perhaps justifiable given past injustices; however, the FXI posits that the way to address these harms is throu</w:t>
      </w:r>
      <w:r w:rsidR="004577DA" w:rsidRPr="00035635">
        <w:t xml:space="preserve">gh open dialogue (even if </w:t>
      </w:r>
      <w:r w:rsidR="006F725E" w:rsidRPr="00035635">
        <w:t>offensive</w:t>
      </w:r>
      <w:r w:rsidR="004577DA" w:rsidRPr="00035635">
        <w:t xml:space="preserve"> at times</w:t>
      </w:r>
      <w:r w:rsidR="006F725E" w:rsidRPr="00035635">
        <w:t xml:space="preserve">) as protected in </w:t>
      </w:r>
      <w:r w:rsidR="006F725E" w:rsidRPr="00035635">
        <w:rPr>
          <w:i/>
        </w:rPr>
        <w:t>s</w:t>
      </w:r>
      <w:r w:rsidR="006F725E" w:rsidRPr="00035635">
        <w:t>16</w:t>
      </w:r>
      <w:r w:rsidR="004646EA" w:rsidRPr="00035635">
        <w:t xml:space="preserve"> </w:t>
      </w:r>
      <w:r w:rsidR="006F725E" w:rsidRPr="00035635">
        <w:t>of the Constitution.</w:t>
      </w:r>
    </w:p>
    <w:p w14:paraId="45C92B23" w14:textId="77777777" w:rsidR="00B67D44" w:rsidRPr="00035635" w:rsidRDefault="00B67D44" w:rsidP="00035635">
      <w:pPr>
        <w:jc w:val="both"/>
      </w:pPr>
    </w:p>
    <w:p w14:paraId="5188B95A" w14:textId="77777777" w:rsidR="00676228" w:rsidRPr="00035635" w:rsidRDefault="00B67D44" w:rsidP="00035635">
      <w:pPr>
        <w:pStyle w:val="ListParagraph"/>
        <w:numPr>
          <w:ilvl w:val="0"/>
          <w:numId w:val="2"/>
        </w:numPr>
        <w:jc w:val="both"/>
        <w:rPr>
          <w:rFonts w:ascii="Times New Roman" w:hAnsi="Times New Roman" w:cs="Times New Roman"/>
        </w:rPr>
      </w:pPr>
      <w:r w:rsidRPr="00035635">
        <w:rPr>
          <w:rFonts w:ascii="Times New Roman" w:hAnsi="Times New Roman" w:cs="Times New Roman"/>
          <w:u w:val="single"/>
        </w:rPr>
        <w:t xml:space="preserve">Constitutional </w:t>
      </w:r>
      <w:r w:rsidR="004646EA" w:rsidRPr="00035635">
        <w:rPr>
          <w:rFonts w:ascii="Times New Roman" w:hAnsi="Times New Roman" w:cs="Times New Roman"/>
          <w:u w:val="single"/>
        </w:rPr>
        <w:t>Parameters</w:t>
      </w:r>
    </w:p>
    <w:p w14:paraId="053B9128" w14:textId="77777777" w:rsidR="00676228" w:rsidRPr="00035635" w:rsidRDefault="00676228" w:rsidP="00035635">
      <w:pPr>
        <w:jc w:val="both"/>
      </w:pPr>
    </w:p>
    <w:p w14:paraId="593C6EBE" w14:textId="77777777" w:rsidR="009215B7" w:rsidRPr="00035635" w:rsidRDefault="00125721" w:rsidP="00035635">
      <w:pPr>
        <w:jc w:val="both"/>
      </w:pPr>
      <w:r w:rsidRPr="00035635">
        <w:t xml:space="preserve">The Constitution does not specifically delimit what comprises “hate speech” per se, but does hint at its parameters in </w:t>
      </w:r>
      <w:r w:rsidRPr="00035635">
        <w:rPr>
          <w:i/>
        </w:rPr>
        <w:t>s</w:t>
      </w:r>
      <w:r w:rsidRPr="00035635">
        <w:t>16(2)(c), which limits constitutional protection over “advocacy of hatred that is based on race, ethnicity, gender or religion and that constitutes incitement to cause harm.” As noted above, the contours of this limitation appear narrowly-drawn</w:t>
      </w:r>
      <w:r w:rsidR="00844B70" w:rsidRPr="00035635">
        <w:t xml:space="preserve"> in terms of protected characteristics (i.e., race, ethnicity, gender and religion) and the nature of the offending speech (i.e., “advocacy of hatred” coupled with “incitement to cause harm”)</w:t>
      </w:r>
      <w:r w:rsidRPr="00035635">
        <w:t xml:space="preserve">. </w:t>
      </w:r>
    </w:p>
    <w:p w14:paraId="7E71463D" w14:textId="77777777" w:rsidR="009215B7" w:rsidRPr="00035635" w:rsidRDefault="009215B7" w:rsidP="00035635">
      <w:pPr>
        <w:jc w:val="both"/>
      </w:pPr>
    </w:p>
    <w:p w14:paraId="5AA07C7B" w14:textId="77777777" w:rsidR="00205726" w:rsidRPr="00035635" w:rsidRDefault="00125721" w:rsidP="00035635">
      <w:pPr>
        <w:jc w:val="both"/>
      </w:pPr>
      <w:r w:rsidRPr="00035635">
        <w:t>However, courts have extended them, purportedly in recognition of South Africa’s past marked by discrimination</w:t>
      </w:r>
      <w:r w:rsidR="0002411C" w:rsidRPr="00035635">
        <w:t xml:space="preserve"> and internal divisions</w:t>
      </w:r>
      <w:r w:rsidRPr="00035635">
        <w:t xml:space="preserve">. In </w:t>
      </w:r>
      <w:r w:rsidR="009215B7" w:rsidRPr="00035635">
        <w:rPr>
          <w:i/>
        </w:rPr>
        <w:t>Afri-Forum and A</w:t>
      </w:r>
      <w:r w:rsidR="00E735D6" w:rsidRPr="00035635">
        <w:rPr>
          <w:i/>
        </w:rPr>
        <w:t>nother v</w:t>
      </w:r>
      <w:r w:rsidRPr="00035635">
        <w:rPr>
          <w:i/>
        </w:rPr>
        <w:t xml:space="preserve"> Malema</w:t>
      </w:r>
      <w:r w:rsidR="000C4C62" w:rsidRPr="00035635">
        <w:rPr>
          <w:i/>
        </w:rPr>
        <w:t xml:space="preserve"> and Others</w:t>
      </w:r>
      <w:r w:rsidRPr="00035635">
        <w:t xml:space="preserve">, for instance, the South Gauteng High Court held that Malema and the ANC could </w:t>
      </w:r>
      <w:r w:rsidR="0002411C" w:rsidRPr="00035635">
        <w:t>no longer</w:t>
      </w:r>
      <w:r w:rsidRPr="00035635">
        <w:t xml:space="preserve"> s</w:t>
      </w:r>
      <w:r w:rsidR="00E73AD0" w:rsidRPr="00035635">
        <w:t>ing a song with the lyrics “shoot</w:t>
      </w:r>
      <w:r w:rsidR="00940D7F" w:rsidRPr="00035635">
        <w:t xml:space="preserve"> the Boer, shoot</w:t>
      </w:r>
      <w:r w:rsidRPr="00035635">
        <w:t xml:space="preserve"> the farmer</w:t>
      </w:r>
      <w:r w:rsidR="00BA2B6A" w:rsidRPr="00035635">
        <w:t>, they are rapists/robbers</w:t>
      </w:r>
      <w:r w:rsidRPr="00035635">
        <w:t xml:space="preserve">” since it </w:t>
      </w:r>
      <w:r w:rsidR="0002411C" w:rsidRPr="00035635">
        <w:t>constituted</w:t>
      </w:r>
      <w:r w:rsidRPr="00035635">
        <w:t xml:space="preserve"> hate speech</w:t>
      </w:r>
      <w:r w:rsidR="0002411C" w:rsidRPr="00035635">
        <w:t>.</w:t>
      </w:r>
      <w:r w:rsidR="0077540F" w:rsidRPr="00035635">
        <w:rPr>
          <w:rStyle w:val="FootnoteReference"/>
        </w:rPr>
        <w:footnoteReference w:id="7"/>
      </w:r>
      <w:r w:rsidR="0002411C" w:rsidRPr="00035635">
        <w:t xml:space="preserve"> </w:t>
      </w:r>
      <w:r w:rsidR="00E735D6" w:rsidRPr="00035635">
        <w:t>In its opinion, the court referred</w:t>
      </w:r>
      <w:r w:rsidR="00182C8E" w:rsidRPr="00035635">
        <w:t xml:space="preserve"> to</w:t>
      </w:r>
      <w:r w:rsidR="0002411C" w:rsidRPr="00035635">
        <w:t xml:space="preserve"> the importance of the perceptions of a specific audience when evaluating whether an </w:t>
      </w:r>
      <w:r w:rsidR="0077540F" w:rsidRPr="00035635">
        <w:t>expression</w:t>
      </w:r>
      <w:r w:rsidR="003A7AF2" w:rsidRPr="00035635">
        <w:t xml:space="preserve"> comprises </w:t>
      </w:r>
      <w:r w:rsidR="0002411C" w:rsidRPr="00035635">
        <w:t xml:space="preserve">hate speech. Focus </w:t>
      </w:r>
      <w:r w:rsidR="0002411C" w:rsidRPr="00035635">
        <w:lastRenderedPageBreak/>
        <w:t>thus shifts from the intent of the “expressor” to the reaction of the audience, who</w:t>
      </w:r>
      <w:r w:rsidR="00182C8E" w:rsidRPr="00035635">
        <w:t xml:space="preserve">se </w:t>
      </w:r>
      <w:r w:rsidR="006A2079" w:rsidRPr="00035635">
        <w:t>power to determine</w:t>
      </w:r>
      <w:r w:rsidR="0002411C" w:rsidRPr="00035635">
        <w:t xml:space="preserve"> the </w:t>
      </w:r>
      <w:r w:rsidR="005A10DA" w:rsidRPr="00035635">
        <w:t>extent of hate speech</w:t>
      </w:r>
      <w:r w:rsidR="006A2079" w:rsidRPr="00035635">
        <w:t xml:space="preserve"> increase dramatically</w:t>
      </w:r>
      <w:r w:rsidR="005A1C18" w:rsidRPr="00035635">
        <w:t>. This shift in perspective is out of step</w:t>
      </w:r>
      <w:r w:rsidR="005A10DA" w:rsidRPr="00035635">
        <w:t xml:space="preserve"> with the constitutional mandate in </w:t>
      </w:r>
      <w:r w:rsidR="005A10DA" w:rsidRPr="00035635">
        <w:rPr>
          <w:i/>
        </w:rPr>
        <w:t>s</w:t>
      </w:r>
      <w:r w:rsidR="005A10DA" w:rsidRPr="00035635">
        <w:t>16(2)(c)</w:t>
      </w:r>
      <w:r w:rsidR="0002411C" w:rsidRPr="00035635">
        <w:t xml:space="preserve">. </w:t>
      </w:r>
      <w:r w:rsidR="00D14850" w:rsidRPr="00035635">
        <w:rPr>
          <w:i/>
        </w:rPr>
        <w:t>Malema</w:t>
      </w:r>
      <w:r w:rsidR="0077540F" w:rsidRPr="00035635">
        <w:t xml:space="preserve"> </w:t>
      </w:r>
      <w:r w:rsidR="0002411C" w:rsidRPr="00035635">
        <w:t>serves as a</w:t>
      </w:r>
      <w:r w:rsidR="00FD4A95" w:rsidRPr="00035635">
        <w:t xml:space="preserve"> potentially</w:t>
      </w:r>
      <w:r w:rsidR="0002411C" w:rsidRPr="00035635">
        <w:t xml:space="preserve"> dangerous precedent for broadening the </w:t>
      </w:r>
      <w:r w:rsidR="005A10DA" w:rsidRPr="00035635">
        <w:t>constitutionally</w:t>
      </w:r>
      <w:r w:rsidR="0002411C" w:rsidRPr="00035635">
        <w:t xml:space="preserve"> narrow parameters of hate speech.</w:t>
      </w:r>
    </w:p>
    <w:p w14:paraId="59D4714B" w14:textId="77777777" w:rsidR="00805BCC" w:rsidRPr="00035635" w:rsidRDefault="00B67D44" w:rsidP="00035635">
      <w:pPr>
        <w:jc w:val="both"/>
      </w:pPr>
      <w:r w:rsidRPr="00035635">
        <w:tab/>
      </w:r>
    </w:p>
    <w:p w14:paraId="460B38B1" w14:textId="77777777" w:rsidR="007F2552" w:rsidRPr="00035635" w:rsidRDefault="00656210" w:rsidP="00035635">
      <w:pPr>
        <w:pStyle w:val="ListParagraph"/>
        <w:numPr>
          <w:ilvl w:val="0"/>
          <w:numId w:val="2"/>
        </w:numPr>
        <w:jc w:val="both"/>
        <w:rPr>
          <w:rFonts w:ascii="Times New Roman" w:hAnsi="Times New Roman" w:cs="Times New Roman"/>
          <w:u w:val="single"/>
        </w:rPr>
      </w:pPr>
      <w:r w:rsidRPr="00035635">
        <w:rPr>
          <w:rFonts w:ascii="Times New Roman" w:hAnsi="Times New Roman" w:cs="Times New Roman"/>
          <w:u w:val="single"/>
        </w:rPr>
        <w:t xml:space="preserve">Promotion of </w:t>
      </w:r>
      <w:r w:rsidR="007F2552" w:rsidRPr="00035635">
        <w:rPr>
          <w:rFonts w:ascii="Times New Roman" w:hAnsi="Times New Roman" w:cs="Times New Roman"/>
          <w:u w:val="single"/>
        </w:rPr>
        <w:t xml:space="preserve">Equality </w:t>
      </w:r>
      <w:r w:rsidRPr="00035635">
        <w:rPr>
          <w:rFonts w:ascii="Times New Roman" w:hAnsi="Times New Roman" w:cs="Times New Roman"/>
          <w:u w:val="single"/>
        </w:rPr>
        <w:t xml:space="preserve">and Prevention of Unfair Discrimination </w:t>
      </w:r>
      <w:r w:rsidR="007F2552" w:rsidRPr="00035635">
        <w:rPr>
          <w:rFonts w:ascii="Times New Roman" w:hAnsi="Times New Roman" w:cs="Times New Roman"/>
          <w:u w:val="single"/>
        </w:rPr>
        <w:t xml:space="preserve">Act </w:t>
      </w:r>
      <w:r w:rsidR="003E1AC0" w:rsidRPr="00035635">
        <w:rPr>
          <w:rFonts w:ascii="Times New Roman" w:hAnsi="Times New Roman" w:cs="Times New Roman"/>
          <w:u w:val="single"/>
        </w:rPr>
        <w:t>of 2000</w:t>
      </w:r>
    </w:p>
    <w:p w14:paraId="378AAE1A" w14:textId="77777777" w:rsidR="005A10DA" w:rsidRPr="00035635" w:rsidRDefault="005A10DA" w:rsidP="00035635">
      <w:pPr>
        <w:jc w:val="both"/>
        <w:rPr>
          <w:u w:val="single"/>
        </w:rPr>
      </w:pPr>
    </w:p>
    <w:p w14:paraId="5E45E014" w14:textId="6AD86F9B" w:rsidR="00203735" w:rsidRDefault="00047FC0" w:rsidP="00035635">
      <w:pPr>
        <w:jc w:val="both"/>
      </w:pPr>
      <w:r w:rsidRPr="00035635">
        <w:t xml:space="preserve">Despite the contours of hate speech outlined in the Constitution, Parliament extended hate speech’s purview under the </w:t>
      </w:r>
      <w:r w:rsidR="00D0590F" w:rsidRPr="00035635">
        <w:t xml:space="preserve">Promotion of Equality and Prevention of Unfair Discrimination Act </w:t>
      </w:r>
      <w:r w:rsidR="002A01BA" w:rsidRPr="00035635">
        <w:t xml:space="preserve">of 2000 </w:t>
      </w:r>
      <w:r w:rsidR="008A3382" w:rsidRPr="00035635">
        <w:t>(hereinafter</w:t>
      </w:r>
      <w:r w:rsidR="00E531B2" w:rsidRPr="00035635">
        <w:t xml:space="preserve"> the </w:t>
      </w:r>
      <w:r w:rsidRPr="00035635">
        <w:t>Equality Act</w:t>
      </w:r>
      <w:r w:rsidR="00D0590F" w:rsidRPr="00035635">
        <w:t>)</w:t>
      </w:r>
      <w:r w:rsidRPr="00035635">
        <w:t xml:space="preserve">, </w:t>
      </w:r>
      <w:r w:rsidR="006F5848">
        <w:t>allegedly</w:t>
      </w:r>
      <w:r w:rsidRPr="00035635">
        <w:t xml:space="preserve"> to comply with </w:t>
      </w:r>
      <w:r w:rsidR="003669B8" w:rsidRPr="00035635">
        <w:t>international obligations</w:t>
      </w:r>
      <w:r w:rsidR="00DE72B3" w:rsidRPr="00035635">
        <w:t>.</w:t>
      </w:r>
      <w:r w:rsidR="003669B8" w:rsidRPr="00035635">
        <w:rPr>
          <w:rStyle w:val="FootnoteReference"/>
        </w:rPr>
        <w:footnoteReference w:id="8"/>
      </w:r>
      <w:r w:rsidR="00DE72B3" w:rsidRPr="00035635">
        <w:t xml:space="preserve"> While the Act regulates hate speech, it draws its primary authority from </w:t>
      </w:r>
      <w:r w:rsidR="00DE72B3" w:rsidRPr="00035635">
        <w:rPr>
          <w:i/>
        </w:rPr>
        <w:t>s</w:t>
      </w:r>
      <w:r w:rsidR="00DE72B3" w:rsidRPr="00035635">
        <w:t>9 of the Constitution (the right to equality)</w:t>
      </w:r>
      <w:r w:rsidR="003669B8" w:rsidRPr="00035635">
        <w:t xml:space="preserve"> instead of </w:t>
      </w:r>
      <w:r w:rsidR="003669B8" w:rsidRPr="00035635">
        <w:rPr>
          <w:i/>
        </w:rPr>
        <w:t>s</w:t>
      </w:r>
      <w:r w:rsidR="003669B8" w:rsidRPr="00035635">
        <w:t>16(2)(c)</w:t>
      </w:r>
      <w:r w:rsidR="00F84F2A" w:rsidRPr="00035635">
        <w:t xml:space="preserve"> (the best </w:t>
      </w:r>
      <w:r w:rsidR="003F375B" w:rsidRPr="00035635">
        <w:t>“</w:t>
      </w:r>
      <w:r w:rsidR="00F84F2A" w:rsidRPr="00035635">
        <w:t>definition</w:t>
      </w:r>
      <w:r w:rsidR="003F375B" w:rsidRPr="00035635">
        <w:t>”</w:t>
      </w:r>
      <w:r w:rsidR="00F84F2A" w:rsidRPr="00035635">
        <w:t xml:space="preserve"> of hate speech available in South Africa)</w:t>
      </w:r>
      <w:r w:rsidR="00DE72B3" w:rsidRPr="00035635">
        <w:t xml:space="preserve">, demonstrating </w:t>
      </w:r>
      <w:r w:rsidR="00221963" w:rsidRPr="00035635">
        <w:t xml:space="preserve">the country’s </w:t>
      </w:r>
      <w:r w:rsidR="00DE72B3" w:rsidRPr="00035635">
        <w:t>commitment to promoting equality and dignity over free exp</w:t>
      </w:r>
      <w:r w:rsidR="004B1676" w:rsidRPr="00035635">
        <w:t xml:space="preserve">ression. The Equality Act </w:t>
      </w:r>
      <w:r w:rsidR="00DE72B3" w:rsidRPr="00035635">
        <w:t>does not define hate speech, but in section 10 indicates that</w:t>
      </w:r>
      <w:r w:rsidR="00203735" w:rsidRPr="00035635">
        <w:t>:</w:t>
      </w:r>
      <w:r w:rsidR="00DE72B3" w:rsidRPr="00035635">
        <w:t xml:space="preserve"> </w:t>
      </w:r>
    </w:p>
    <w:p w14:paraId="39B247CB" w14:textId="77777777" w:rsidR="00035635" w:rsidRPr="00035635" w:rsidRDefault="00035635" w:rsidP="00035635">
      <w:pPr>
        <w:jc w:val="both"/>
      </w:pPr>
    </w:p>
    <w:p w14:paraId="0778F923" w14:textId="77777777" w:rsidR="004B1676" w:rsidRPr="00035635" w:rsidRDefault="00E41124" w:rsidP="00035635">
      <w:pPr>
        <w:jc w:val="both"/>
      </w:pPr>
      <w:r w:rsidRPr="00035635">
        <w:tab/>
      </w:r>
      <w:r w:rsidR="00203735" w:rsidRPr="00035635">
        <w:t>“N</w:t>
      </w:r>
      <w:r w:rsidR="00DE72B3" w:rsidRPr="00035635">
        <w:t xml:space="preserve">o person may publish, propagate, advocate or communicate words based on one or </w:t>
      </w:r>
      <w:r w:rsidRPr="00035635">
        <w:tab/>
      </w:r>
      <w:r w:rsidR="00DE72B3" w:rsidRPr="00035635">
        <w:t xml:space="preserve">more of the prohibited grounds, against any person, that could reasonably be </w:t>
      </w:r>
      <w:r w:rsidRPr="00035635">
        <w:tab/>
      </w:r>
      <w:r w:rsidR="00DE72B3" w:rsidRPr="00035635">
        <w:t xml:space="preserve">construed to demonstrate a clear intention to: </w:t>
      </w:r>
    </w:p>
    <w:p w14:paraId="46FA64A5" w14:textId="77777777" w:rsidR="004B1676" w:rsidRPr="00035635" w:rsidRDefault="00DE72B3" w:rsidP="00035635">
      <w:pPr>
        <w:pStyle w:val="ListParagraph"/>
        <w:numPr>
          <w:ilvl w:val="0"/>
          <w:numId w:val="5"/>
        </w:numPr>
        <w:jc w:val="both"/>
        <w:rPr>
          <w:rFonts w:ascii="Times New Roman" w:hAnsi="Times New Roman" w:cs="Times New Roman"/>
        </w:rPr>
      </w:pPr>
      <w:r w:rsidRPr="00035635">
        <w:rPr>
          <w:rFonts w:ascii="Times New Roman" w:hAnsi="Times New Roman" w:cs="Times New Roman"/>
        </w:rPr>
        <w:t xml:space="preserve">be hurtful; </w:t>
      </w:r>
    </w:p>
    <w:p w14:paraId="0EF3D8DF" w14:textId="77777777" w:rsidR="008E3A22" w:rsidRPr="00035635" w:rsidRDefault="00DE72B3" w:rsidP="00035635">
      <w:pPr>
        <w:ind w:left="720"/>
        <w:jc w:val="both"/>
      </w:pPr>
      <w:r w:rsidRPr="00035635">
        <w:t xml:space="preserve">(b) be harmful or incite harm; and </w:t>
      </w:r>
    </w:p>
    <w:p w14:paraId="3BD3AF11" w14:textId="77777777" w:rsidR="008E3A22" w:rsidRPr="00035635" w:rsidRDefault="00DE72B3" w:rsidP="00035635">
      <w:pPr>
        <w:ind w:left="720"/>
        <w:jc w:val="both"/>
      </w:pPr>
      <w:r w:rsidRPr="00035635">
        <w:t xml:space="preserve">(c) promote or propagate hatred.” </w:t>
      </w:r>
    </w:p>
    <w:p w14:paraId="42EFE0AA" w14:textId="77777777" w:rsidR="00035635" w:rsidRDefault="00035635" w:rsidP="00035635">
      <w:pPr>
        <w:jc w:val="both"/>
      </w:pPr>
    </w:p>
    <w:p w14:paraId="078AAA29" w14:textId="77777777" w:rsidR="00203735" w:rsidRPr="00035635" w:rsidRDefault="00637B36" w:rsidP="00035635">
      <w:pPr>
        <w:jc w:val="both"/>
      </w:pPr>
      <w:r w:rsidRPr="00035635">
        <w:t>Though s</w:t>
      </w:r>
      <w:r w:rsidR="00DE72B3" w:rsidRPr="00035635">
        <w:t>ec</w:t>
      </w:r>
      <w:r w:rsidRPr="00035635">
        <w:t xml:space="preserve">tion 12 may protect expressions spoken in “good faith,” the Act signifies an unconstitutional departure from </w:t>
      </w:r>
      <w:r w:rsidRPr="00035635">
        <w:rPr>
          <w:i/>
        </w:rPr>
        <w:t>s</w:t>
      </w:r>
      <w:r w:rsidRPr="00035635">
        <w:t xml:space="preserve">16(2)(c) and effectively limits protected speech under </w:t>
      </w:r>
      <w:r w:rsidRPr="00035635">
        <w:rPr>
          <w:i/>
        </w:rPr>
        <w:t>s</w:t>
      </w:r>
      <w:r w:rsidRPr="00035635">
        <w:t xml:space="preserve">16(1) without sufficient justification from </w:t>
      </w:r>
      <w:r w:rsidRPr="00035635">
        <w:rPr>
          <w:i/>
        </w:rPr>
        <w:t>s</w:t>
      </w:r>
      <w:r w:rsidRPr="00035635">
        <w:t xml:space="preserve">36 of the Constitution as required by </w:t>
      </w:r>
      <w:r w:rsidRPr="00035635">
        <w:rPr>
          <w:i/>
        </w:rPr>
        <w:t>Islamic Unity</w:t>
      </w:r>
      <w:r w:rsidR="00CB1B2F" w:rsidRPr="00035635">
        <w:rPr>
          <w:i/>
        </w:rPr>
        <w:t xml:space="preserve"> Convention</w:t>
      </w:r>
      <w:r w:rsidRPr="00035635">
        <w:rPr>
          <w:i/>
        </w:rPr>
        <w:t>.</w:t>
      </w:r>
      <w:r w:rsidR="002F2B5A" w:rsidRPr="00035635">
        <w:rPr>
          <w:rStyle w:val="FootnoteReference"/>
          <w:i/>
        </w:rPr>
        <w:footnoteReference w:id="9"/>
      </w:r>
      <w:r w:rsidRPr="00035635">
        <w:t xml:space="preserve"> The Act also extends the characteristics protected </w:t>
      </w:r>
      <w:r w:rsidR="004B1676" w:rsidRPr="00035635">
        <w:t>under</w:t>
      </w:r>
      <w:r w:rsidRPr="00035635">
        <w:t xml:space="preserve"> </w:t>
      </w:r>
      <w:r w:rsidR="004B1676" w:rsidRPr="00035635">
        <w:rPr>
          <w:i/>
        </w:rPr>
        <w:t>s</w:t>
      </w:r>
      <w:r w:rsidR="004B1676" w:rsidRPr="00035635">
        <w:t xml:space="preserve">16(2)(c) </w:t>
      </w:r>
      <w:r w:rsidRPr="00035635">
        <w:t>from “race, ethnicity, gender or religion” to</w:t>
      </w:r>
      <w:r w:rsidR="005F25A8" w:rsidRPr="00035635">
        <w:t xml:space="preserve">, </w:t>
      </w:r>
      <w:r w:rsidR="005F25A8" w:rsidRPr="00035635">
        <w:rPr>
          <w:i/>
        </w:rPr>
        <w:t>inter alia</w:t>
      </w:r>
      <w:r w:rsidR="005F25A8" w:rsidRPr="00035635">
        <w:t>,</w:t>
      </w:r>
      <w:r w:rsidRPr="00035635">
        <w:t xml:space="preserve"> “sex, age, disab</w:t>
      </w:r>
      <w:r w:rsidR="005F25A8" w:rsidRPr="00035635">
        <w:t>ility, sexual orientation”</w:t>
      </w:r>
      <w:r w:rsidRPr="00035635">
        <w:t xml:space="preserve"> (</w:t>
      </w:r>
      <w:r w:rsidRPr="00035635">
        <w:rPr>
          <w:i/>
        </w:rPr>
        <w:t>s</w:t>
      </w:r>
      <w:r w:rsidRPr="00035635">
        <w:t>9</w:t>
      </w:r>
      <w:r w:rsidR="00F462AE" w:rsidRPr="00035635">
        <w:t xml:space="preserve"> of the Constitution</w:t>
      </w:r>
      <w:r w:rsidR="001F32D4" w:rsidRPr="00035635">
        <w:t xml:space="preserve"> and </w:t>
      </w:r>
      <w:r w:rsidR="001F32D4" w:rsidRPr="00035635">
        <w:rPr>
          <w:i/>
        </w:rPr>
        <w:t>s</w:t>
      </w:r>
      <w:r w:rsidR="001F32D4" w:rsidRPr="00035635">
        <w:t>10 of the Equality Act</w:t>
      </w:r>
      <w:r w:rsidRPr="00035635">
        <w:t xml:space="preserve">). </w:t>
      </w:r>
    </w:p>
    <w:p w14:paraId="6DAE968C" w14:textId="77777777" w:rsidR="00203735" w:rsidRPr="00035635" w:rsidRDefault="00203735" w:rsidP="00035635">
      <w:pPr>
        <w:jc w:val="both"/>
      </w:pPr>
    </w:p>
    <w:p w14:paraId="5DD266C7" w14:textId="77777777" w:rsidR="00165442" w:rsidRPr="00035635" w:rsidRDefault="00047FC0" w:rsidP="00035635">
      <w:pPr>
        <w:jc w:val="both"/>
      </w:pPr>
      <w:r w:rsidRPr="00035635">
        <w:t xml:space="preserve">The FXI as </w:t>
      </w:r>
      <w:r w:rsidRPr="00035635">
        <w:rPr>
          <w:i/>
        </w:rPr>
        <w:t>amicus curiae</w:t>
      </w:r>
      <w:r w:rsidRPr="00035635">
        <w:t xml:space="preserve"> challenged the constitutionality of the Equality Act on these grounds in</w:t>
      </w:r>
      <w:r w:rsidR="0015785B" w:rsidRPr="00035635">
        <w:t xml:space="preserve"> </w:t>
      </w:r>
      <w:r w:rsidRPr="00035635">
        <w:rPr>
          <w:i/>
        </w:rPr>
        <w:t>South Af</w:t>
      </w:r>
      <w:r w:rsidR="00E3321F" w:rsidRPr="00035635">
        <w:rPr>
          <w:i/>
        </w:rPr>
        <w:t>rican Human Rights Commission v</w:t>
      </w:r>
      <w:r w:rsidRPr="00035635">
        <w:rPr>
          <w:i/>
        </w:rPr>
        <w:t xml:space="preserve"> Qwelane</w:t>
      </w:r>
      <w:r w:rsidRPr="00035635">
        <w:t>.</w:t>
      </w:r>
      <w:r w:rsidR="009D0C74" w:rsidRPr="00035635">
        <w:rPr>
          <w:rStyle w:val="FootnoteReference"/>
        </w:rPr>
        <w:footnoteReference w:id="10"/>
      </w:r>
      <w:r w:rsidR="00BA24F9" w:rsidRPr="00035635">
        <w:t xml:space="preserve"> </w:t>
      </w:r>
      <w:r w:rsidR="007D2796" w:rsidRPr="00035635">
        <w:t xml:space="preserve">The case involved </w:t>
      </w:r>
      <w:r w:rsidR="00C1691B" w:rsidRPr="00035635">
        <w:t>an article</w:t>
      </w:r>
      <w:r w:rsidR="005F6F5E" w:rsidRPr="00035635">
        <w:t xml:space="preserve"> entitled “</w:t>
      </w:r>
      <w:r w:rsidR="00F73135" w:rsidRPr="00035635">
        <w:t>Call Me N</w:t>
      </w:r>
      <w:r w:rsidR="000A04A0" w:rsidRPr="00035635">
        <w:t>ames, But Gay I</w:t>
      </w:r>
      <w:r w:rsidR="008F7710" w:rsidRPr="00035635">
        <w:t>s N</w:t>
      </w:r>
      <w:r w:rsidR="005F6F5E" w:rsidRPr="00035635">
        <w:t>ot Okay</w:t>
      </w:r>
      <w:r w:rsidR="00027BE3" w:rsidRPr="00035635">
        <w:t>”</w:t>
      </w:r>
      <w:r w:rsidR="003845F8" w:rsidRPr="00035635">
        <w:t xml:space="preserve"> written by the</w:t>
      </w:r>
      <w:r w:rsidR="00027BE3" w:rsidRPr="00035635">
        <w:t xml:space="preserve"> former ambassador to Uganda, Jon Qwelane,</w:t>
      </w:r>
      <w:r w:rsidR="00EB6244" w:rsidRPr="00035635">
        <w:t xml:space="preserve"> and published in</w:t>
      </w:r>
      <w:r w:rsidR="003845F8" w:rsidRPr="00035635">
        <w:t xml:space="preserve"> the Sunday </w:t>
      </w:r>
      <w:r w:rsidR="00547647" w:rsidRPr="00035635">
        <w:t>Sun</w:t>
      </w:r>
      <w:r w:rsidR="00C21B1E" w:rsidRPr="00035635">
        <w:t xml:space="preserve">; an accompanying cartoon showed a man </w:t>
      </w:r>
      <w:r w:rsidR="00D86516" w:rsidRPr="00035635">
        <w:t xml:space="preserve">marrying a goat, appearing to equate homosexuality with bestiality. </w:t>
      </w:r>
      <w:r w:rsidR="001A0B38" w:rsidRPr="00035635">
        <w:t>Upon publication, t</w:t>
      </w:r>
      <w:r w:rsidR="0028408C" w:rsidRPr="00035635">
        <w:t xml:space="preserve">he gay community brought an action </w:t>
      </w:r>
      <w:r w:rsidR="00DE2E31" w:rsidRPr="00035635">
        <w:t xml:space="preserve">against </w:t>
      </w:r>
      <w:r w:rsidR="00C14DFD" w:rsidRPr="00035635">
        <w:t xml:space="preserve">Mr. </w:t>
      </w:r>
      <w:r w:rsidR="00DE2E31" w:rsidRPr="00035635">
        <w:t xml:space="preserve">Qwelane </w:t>
      </w:r>
      <w:r w:rsidR="0028408C" w:rsidRPr="00035635">
        <w:t>for hate speech</w:t>
      </w:r>
      <w:r w:rsidR="00DB328A" w:rsidRPr="00035635">
        <w:t xml:space="preserve"> under the Equality Act. </w:t>
      </w:r>
      <w:r w:rsidR="006F0EE1" w:rsidRPr="00035635">
        <w:t>In its</w:t>
      </w:r>
      <w:r w:rsidR="00FF07E5" w:rsidRPr="00035635">
        <w:t xml:space="preserve"> </w:t>
      </w:r>
      <w:r w:rsidR="00FF07E5" w:rsidRPr="00035635">
        <w:rPr>
          <w:i/>
        </w:rPr>
        <w:t>amicus curiae</w:t>
      </w:r>
      <w:r w:rsidR="006F0EE1" w:rsidRPr="00035635">
        <w:t xml:space="preserve"> brief</w:t>
      </w:r>
      <w:r w:rsidR="003D6B52" w:rsidRPr="00035635">
        <w:t xml:space="preserve">, the FXI </w:t>
      </w:r>
      <w:r w:rsidR="008353C3" w:rsidRPr="00035635">
        <w:t xml:space="preserve">first compared the Act’s </w:t>
      </w:r>
      <w:r w:rsidR="008353C3" w:rsidRPr="00035635">
        <w:rPr>
          <w:i/>
        </w:rPr>
        <w:t>s</w:t>
      </w:r>
      <w:r w:rsidR="008353C3" w:rsidRPr="00035635">
        <w:t xml:space="preserve">10 provisions to </w:t>
      </w:r>
      <w:r w:rsidR="008353C3" w:rsidRPr="00035635">
        <w:rPr>
          <w:i/>
        </w:rPr>
        <w:t>s</w:t>
      </w:r>
      <w:r w:rsidR="008353C3" w:rsidRPr="00035635">
        <w:t xml:space="preserve">16(2)(c), determining that </w:t>
      </w:r>
      <w:r w:rsidR="008353C3" w:rsidRPr="00035635">
        <w:rPr>
          <w:i/>
        </w:rPr>
        <w:t>s</w:t>
      </w:r>
      <w:r w:rsidR="008353C3" w:rsidRPr="00035635">
        <w:t>10 was</w:t>
      </w:r>
      <w:r w:rsidR="00CC277C" w:rsidRPr="00035635">
        <w:t xml:space="preserve"> unconstitutionally</w:t>
      </w:r>
      <w:r w:rsidR="009E2F34" w:rsidRPr="00035635">
        <w:t xml:space="preserve"> </w:t>
      </w:r>
      <w:r w:rsidR="008353C3" w:rsidRPr="00035635">
        <w:t>broad</w:t>
      </w:r>
      <w:r w:rsidR="0079031A" w:rsidRPr="00035635">
        <w:t>.</w:t>
      </w:r>
      <w:r w:rsidR="006F0C71" w:rsidRPr="00035635">
        <w:rPr>
          <w:rStyle w:val="FootnoteReference"/>
        </w:rPr>
        <w:footnoteReference w:id="11"/>
      </w:r>
      <w:r w:rsidR="0079031A" w:rsidRPr="00035635">
        <w:t xml:space="preserve"> Next, the brief considered whether there was a </w:t>
      </w:r>
      <w:r w:rsidR="0079031A" w:rsidRPr="00035635">
        <w:rPr>
          <w:i/>
        </w:rPr>
        <w:t>s</w:t>
      </w:r>
      <w:r w:rsidR="0079031A" w:rsidRPr="00035635">
        <w:t xml:space="preserve">36 justification for the expansions of </w:t>
      </w:r>
      <w:r w:rsidR="004805C9" w:rsidRPr="00035635">
        <w:t xml:space="preserve">the contours of </w:t>
      </w:r>
      <w:r w:rsidR="0079031A" w:rsidRPr="00035635">
        <w:t>hate speech over and above the Constitution</w:t>
      </w:r>
      <w:r w:rsidR="00AF3F98" w:rsidRPr="00035635">
        <w:t xml:space="preserve">, considering each of the </w:t>
      </w:r>
      <w:r w:rsidR="00441A6F" w:rsidRPr="00035635">
        <w:t>relevant</w:t>
      </w:r>
      <w:r w:rsidR="002B1A88" w:rsidRPr="00035635">
        <w:t xml:space="preserve"> factors </w:t>
      </w:r>
      <w:r w:rsidR="00165442" w:rsidRPr="00035635">
        <w:t>(</w:t>
      </w:r>
      <w:r w:rsidR="00042689" w:rsidRPr="00035635">
        <w:t>i.e., “</w:t>
      </w:r>
      <w:r w:rsidR="00842DAA" w:rsidRPr="00035635">
        <w:t xml:space="preserve">the nature of the right, </w:t>
      </w:r>
      <w:r w:rsidR="00165442" w:rsidRPr="00035635">
        <w:t>the importance of</w:t>
      </w:r>
      <w:r w:rsidR="00842DAA" w:rsidRPr="00035635">
        <w:t xml:space="preserve"> the purpose of the limitation, </w:t>
      </w:r>
      <w:r w:rsidR="00165442" w:rsidRPr="00035635">
        <w:t>the nature and extent of the limitation</w:t>
      </w:r>
      <w:r w:rsidR="00842DAA" w:rsidRPr="00035635">
        <w:t xml:space="preserve">, </w:t>
      </w:r>
      <w:r w:rsidR="00165442" w:rsidRPr="00035635">
        <w:t>the relation between</w:t>
      </w:r>
      <w:r w:rsidR="0083063E" w:rsidRPr="00035635">
        <w:t xml:space="preserve"> the limitation and its purpose,</w:t>
      </w:r>
      <w:r w:rsidR="00165442" w:rsidRPr="00035635">
        <w:t xml:space="preserve"> and</w:t>
      </w:r>
      <w:r w:rsidR="002C0E18" w:rsidRPr="00035635">
        <w:t xml:space="preserve"> </w:t>
      </w:r>
      <w:r w:rsidR="000769F9" w:rsidRPr="00035635">
        <w:t>[</w:t>
      </w:r>
      <w:r w:rsidR="002C0E18" w:rsidRPr="00035635">
        <w:t xml:space="preserve">the </w:t>
      </w:r>
      <w:r w:rsidR="00A77D2E" w:rsidRPr="00035635">
        <w:t>availability of</w:t>
      </w:r>
      <w:r w:rsidR="000769F9" w:rsidRPr="00035635">
        <w:t>]</w:t>
      </w:r>
      <w:r w:rsidR="00165442" w:rsidRPr="00035635">
        <w:t xml:space="preserve"> less restrictive means to achieve the purpose</w:t>
      </w:r>
      <w:r w:rsidR="00424827" w:rsidRPr="00035635">
        <w:t>”)</w:t>
      </w:r>
      <w:r w:rsidR="00165442" w:rsidRPr="00035635">
        <w:t>.</w:t>
      </w:r>
      <w:r w:rsidR="004B6102" w:rsidRPr="00035635">
        <w:t xml:space="preserve"> T</w:t>
      </w:r>
      <w:r w:rsidR="001F52D2" w:rsidRPr="00035635">
        <w:t>h</w:t>
      </w:r>
      <w:r w:rsidR="0083063E" w:rsidRPr="00035635">
        <w:t>e FXI argued that there was not</w:t>
      </w:r>
      <w:r w:rsidR="001F52D2" w:rsidRPr="00035635">
        <w:t xml:space="preserve"> </w:t>
      </w:r>
      <w:r w:rsidR="004A1178" w:rsidRPr="00035635">
        <w:t>sufficient justification</w:t>
      </w:r>
      <w:r w:rsidR="001F10E6" w:rsidRPr="00035635">
        <w:t xml:space="preserve"> under </w:t>
      </w:r>
      <w:r w:rsidR="0081221F" w:rsidRPr="00035635">
        <w:t xml:space="preserve">the </w:t>
      </w:r>
      <w:r w:rsidR="001F10E6" w:rsidRPr="00035635">
        <w:rPr>
          <w:i/>
        </w:rPr>
        <w:t>s</w:t>
      </w:r>
      <w:r w:rsidR="001F10E6" w:rsidRPr="00035635">
        <w:t>36</w:t>
      </w:r>
      <w:r w:rsidR="0081221F" w:rsidRPr="00035635">
        <w:t xml:space="preserve"> factors</w:t>
      </w:r>
      <w:r w:rsidR="00B35E7E" w:rsidRPr="00035635">
        <w:t xml:space="preserve"> for the broadness of the </w:t>
      </w:r>
      <w:r w:rsidR="007058AE" w:rsidRPr="00035635">
        <w:t>parameters of hate speech evident in the Equality Act.</w:t>
      </w:r>
      <w:r w:rsidR="00873207" w:rsidRPr="00035635">
        <w:t xml:space="preserve"> </w:t>
      </w:r>
      <w:r w:rsidR="007058AE" w:rsidRPr="00035635">
        <w:t>A</w:t>
      </w:r>
      <w:r w:rsidR="004A1178" w:rsidRPr="00035635">
        <w:t>ccordingly,</w:t>
      </w:r>
      <w:r w:rsidR="005929D3" w:rsidRPr="00035635">
        <w:t xml:space="preserve"> it posited that the </w:t>
      </w:r>
      <w:r w:rsidR="00873207" w:rsidRPr="00035635">
        <w:t xml:space="preserve">Act </w:t>
      </w:r>
      <w:r w:rsidR="005929D3" w:rsidRPr="00035635">
        <w:t xml:space="preserve">was </w:t>
      </w:r>
      <w:r w:rsidR="00873207" w:rsidRPr="00035635">
        <w:t>unconstitution</w:t>
      </w:r>
      <w:r w:rsidR="004B6102" w:rsidRPr="00035635">
        <w:t>al</w:t>
      </w:r>
      <w:r w:rsidR="00156D82" w:rsidRPr="00035635">
        <w:t xml:space="preserve">. However, the court has not yet rendered a judgment </w:t>
      </w:r>
      <w:r w:rsidR="00156D82" w:rsidRPr="00035635">
        <w:lastRenderedPageBreak/>
        <w:t>on the organization’s position</w:t>
      </w:r>
      <w:r w:rsidR="004C0648" w:rsidRPr="00035635">
        <w:t xml:space="preserve"> in this case</w:t>
      </w:r>
      <w:r w:rsidR="00E269EB" w:rsidRPr="00035635">
        <w:t xml:space="preserve"> (it is expected shortly)</w:t>
      </w:r>
      <w:r w:rsidR="00156D82" w:rsidRPr="00035635">
        <w:t xml:space="preserve">. Nevertheless, the manner in which the FXI analyzed the Act serves as an effective blueprint </w:t>
      </w:r>
      <w:r w:rsidR="003C1B3A" w:rsidRPr="00035635">
        <w:t>for</w:t>
      </w:r>
      <w:r w:rsidR="00C16131" w:rsidRPr="00035635">
        <w:t xml:space="preserve"> evaluating</w:t>
      </w:r>
      <w:r w:rsidR="00156D82" w:rsidRPr="00035635">
        <w:t xml:space="preserve"> whether</w:t>
      </w:r>
      <w:r w:rsidR="00F00FF1" w:rsidRPr="00035635">
        <w:t xml:space="preserve"> future</w:t>
      </w:r>
      <w:r w:rsidR="00156D82" w:rsidRPr="00035635">
        <w:t xml:space="preserve"> legislation—or</w:t>
      </w:r>
      <w:r w:rsidR="009A4057" w:rsidRPr="00035635">
        <w:t xml:space="preserve"> even</w:t>
      </w:r>
      <w:r w:rsidR="00156D82" w:rsidRPr="00035635">
        <w:t xml:space="preserve"> a single expression—is constitutionally protected</w:t>
      </w:r>
      <w:r w:rsidR="00B221D9" w:rsidRPr="00035635">
        <w:t xml:space="preserve"> under </w:t>
      </w:r>
      <w:r w:rsidR="00B221D9" w:rsidRPr="00035635">
        <w:rPr>
          <w:i/>
        </w:rPr>
        <w:t>s</w:t>
      </w:r>
      <w:r w:rsidR="004630B6" w:rsidRPr="00035635">
        <w:t>16</w:t>
      </w:r>
      <w:r w:rsidR="00156D82" w:rsidRPr="00035635">
        <w:t>.</w:t>
      </w:r>
    </w:p>
    <w:p w14:paraId="6BBDCC1D" w14:textId="77777777" w:rsidR="00203735" w:rsidRPr="00035635" w:rsidRDefault="00203735" w:rsidP="00035635">
      <w:pPr>
        <w:jc w:val="both"/>
      </w:pPr>
    </w:p>
    <w:p w14:paraId="6B4C5CFC" w14:textId="24315DD3" w:rsidR="00205726" w:rsidRPr="00035635" w:rsidRDefault="00047FC0" w:rsidP="00035635">
      <w:pPr>
        <w:jc w:val="both"/>
      </w:pPr>
      <w:r w:rsidRPr="00035635">
        <w:t xml:space="preserve">Though the Equality Act attempts to deter </w:t>
      </w:r>
      <w:r w:rsidR="001D5AB9">
        <w:t>hate speech, it essentially</w:t>
      </w:r>
      <w:r w:rsidRPr="00035635">
        <w:t xml:space="preserve"> emphasizes the </w:t>
      </w:r>
      <w:r w:rsidRPr="00035635">
        <w:rPr>
          <w:i/>
        </w:rPr>
        <w:t>appearance</w:t>
      </w:r>
      <w:r w:rsidRPr="00035635">
        <w:t xml:space="preserve"> of equality, instead of attacking the root causes of discrimination underlying hate speech. The FXI </w:t>
      </w:r>
      <w:r w:rsidR="003C0DC9">
        <w:t>contends</w:t>
      </w:r>
      <w:r w:rsidRPr="00035635">
        <w:t xml:space="preserve"> that freedom of expression and its accompanying dialogue does more to quash subliminal discrimination linge</w:t>
      </w:r>
      <w:r w:rsidR="00DF17B4" w:rsidRPr="00035635">
        <w:t>ring in South African society. Accordingly, h</w:t>
      </w:r>
      <w:r w:rsidRPr="00035635">
        <w:t xml:space="preserve">ate speech should be narrowly understood according to </w:t>
      </w:r>
      <w:r w:rsidRPr="00035635">
        <w:rPr>
          <w:i/>
        </w:rPr>
        <w:t>s</w:t>
      </w:r>
      <w:r w:rsidRPr="00035635">
        <w:t>16(2)(c).</w:t>
      </w:r>
    </w:p>
    <w:p w14:paraId="6B98117A" w14:textId="77777777" w:rsidR="007F2552" w:rsidRPr="00035635" w:rsidRDefault="007F2552" w:rsidP="00035635">
      <w:pPr>
        <w:jc w:val="both"/>
        <w:rPr>
          <w:u w:val="single"/>
        </w:rPr>
      </w:pPr>
    </w:p>
    <w:p w14:paraId="43E35EBF" w14:textId="77777777" w:rsidR="002B4828" w:rsidRPr="00035635" w:rsidRDefault="007F2552" w:rsidP="00035635">
      <w:pPr>
        <w:pStyle w:val="ListParagraph"/>
        <w:numPr>
          <w:ilvl w:val="0"/>
          <w:numId w:val="2"/>
        </w:numPr>
        <w:jc w:val="both"/>
        <w:rPr>
          <w:rFonts w:ascii="Times New Roman" w:hAnsi="Times New Roman" w:cs="Times New Roman"/>
          <w:u w:val="single"/>
        </w:rPr>
      </w:pPr>
      <w:r w:rsidRPr="00035635">
        <w:rPr>
          <w:rFonts w:ascii="Times New Roman" w:hAnsi="Times New Roman" w:cs="Times New Roman"/>
          <w:u w:val="single"/>
        </w:rPr>
        <w:t xml:space="preserve">Prevention </w:t>
      </w:r>
      <w:r w:rsidR="004A3797" w:rsidRPr="00035635">
        <w:rPr>
          <w:rFonts w:ascii="Times New Roman" w:hAnsi="Times New Roman" w:cs="Times New Roman"/>
          <w:u w:val="single"/>
        </w:rPr>
        <w:t>and Combating of Hate Crimes and Hate Speech Bill of 2016</w:t>
      </w:r>
    </w:p>
    <w:p w14:paraId="04B68EBF" w14:textId="77777777" w:rsidR="002B4828" w:rsidRPr="00035635" w:rsidRDefault="002B4828" w:rsidP="00035635">
      <w:pPr>
        <w:jc w:val="both"/>
      </w:pPr>
    </w:p>
    <w:p w14:paraId="6A8EE231" w14:textId="77777777" w:rsidR="002B4828" w:rsidRDefault="00E368F0" w:rsidP="00035635">
      <w:pPr>
        <w:jc w:val="both"/>
      </w:pPr>
      <w:r w:rsidRPr="00035635">
        <w:t>Last year the</w:t>
      </w:r>
      <w:r w:rsidR="00BF5C9D" w:rsidRPr="00035635">
        <w:t xml:space="preserve"> South African Parliament again </w:t>
      </w:r>
      <w:r w:rsidRPr="00035635">
        <w:t xml:space="preserve">moved to limit hate speech further, </w:t>
      </w:r>
      <w:r w:rsidRPr="00035635">
        <w:rPr>
          <w:i/>
        </w:rPr>
        <w:t>criminalizing</w:t>
      </w:r>
      <w:r w:rsidRPr="00035635">
        <w:t xml:space="preserve"> certain forms as laid out in section 4 of the </w:t>
      </w:r>
      <w:r w:rsidR="00E9299B" w:rsidRPr="00035635">
        <w:t xml:space="preserve">Prevention and Combating of Hate Crimes and Hate Speech Bill (hereinafter </w:t>
      </w:r>
      <w:r w:rsidR="00B40190" w:rsidRPr="00035635">
        <w:t xml:space="preserve">the </w:t>
      </w:r>
      <w:r w:rsidR="00663A06" w:rsidRPr="00035635">
        <w:t>Prevention Bill)</w:t>
      </w:r>
      <w:r w:rsidRPr="00035635">
        <w:t xml:space="preserve">: </w:t>
      </w:r>
    </w:p>
    <w:p w14:paraId="3DF097CF" w14:textId="77777777" w:rsidR="00533C05" w:rsidRPr="00035635" w:rsidRDefault="00533C05" w:rsidP="00035635">
      <w:pPr>
        <w:jc w:val="both"/>
        <w:rPr>
          <w:u w:val="single"/>
        </w:rPr>
      </w:pPr>
    </w:p>
    <w:p w14:paraId="06886379" w14:textId="77777777" w:rsidR="002B4828" w:rsidRPr="00035635" w:rsidRDefault="009B34AF" w:rsidP="00035635">
      <w:pPr>
        <w:ind w:firstLine="360"/>
        <w:jc w:val="both"/>
      </w:pPr>
      <w:r w:rsidRPr="00035635">
        <w:t xml:space="preserve">“Any person who intentionally, by means of any communication whatsoever, </w:t>
      </w:r>
      <w:r w:rsidR="002B4828" w:rsidRPr="00035635">
        <w:t xml:space="preserve">     </w:t>
      </w:r>
    </w:p>
    <w:p w14:paraId="395CBB20" w14:textId="77777777" w:rsidR="002B4828" w:rsidRPr="00035635" w:rsidRDefault="009B34AF" w:rsidP="00035635">
      <w:pPr>
        <w:ind w:firstLine="360"/>
        <w:jc w:val="both"/>
      </w:pPr>
      <w:r w:rsidRPr="00035635">
        <w:t xml:space="preserve">communicates to one or more person in a manner that (i) advocates hatred toward any </w:t>
      </w:r>
    </w:p>
    <w:p w14:paraId="35838DDF" w14:textId="77777777" w:rsidR="002B4828" w:rsidRPr="00035635" w:rsidRDefault="009B34AF" w:rsidP="00035635">
      <w:pPr>
        <w:ind w:firstLine="360"/>
        <w:jc w:val="both"/>
      </w:pPr>
      <w:r w:rsidRPr="00035635">
        <w:t xml:space="preserve">other person or group…; or (ii) is threatening, abusive or insulting towards any other </w:t>
      </w:r>
    </w:p>
    <w:p w14:paraId="12E67649" w14:textId="77777777" w:rsidR="002B4828" w:rsidRPr="00035635" w:rsidRDefault="009B34AF" w:rsidP="00035635">
      <w:pPr>
        <w:ind w:firstLine="360"/>
        <w:jc w:val="both"/>
      </w:pPr>
      <w:r w:rsidRPr="00035635">
        <w:t xml:space="preserve">person or group, and which demonstrates a clear intention, having regard to all the </w:t>
      </w:r>
    </w:p>
    <w:p w14:paraId="2E5492EE" w14:textId="77777777" w:rsidR="002B4828" w:rsidRPr="00035635" w:rsidRDefault="009B34AF" w:rsidP="00035635">
      <w:pPr>
        <w:ind w:firstLine="360"/>
        <w:jc w:val="both"/>
      </w:pPr>
      <w:r w:rsidRPr="00035635">
        <w:t xml:space="preserve">circumstances to (aa) incite others to harm any person or group, whether or not that </w:t>
      </w:r>
    </w:p>
    <w:p w14:paraId="7D958814" w14:textId="77777777" w:rsidR="002B4828" w:rsidRPr="00035635" w:rsidRDefault="009B34AF" w:rsidP="00035635">
      <w:pPr>
        <w:ind w:firstLine="360"/>
        <w:jc w:val="both"/>
      </w:pPr>
      <w:r w:rsidRPr="00035635">
        <w:t xml:space="preserve">person or group is harmed; or (bb) stir up violence against, or bring into contempt or </w:t>
      </w:r>
    </w:p>
    <w:p w14:paraId="6C925C60" w14:textId="77777777" w:rsidR="00035635" w:rsidRDefault="009B34AF" w:rsidP="00035635">
      <w:pPr>
        <w:ind w:firstLine="360"/>
        <w:jc w:val="both"/>
      </w:pPr>
      <w:r w:rsidRPr="00035635">
        <w:t>ridicule, any person or group</w:t>
      </w:r>
      <w:r w:rsidR="00E368F0" w:rsidRPr="00035635">
        <w:t>.</w:t>
      </w:r>
      <w:r w:rsidRPr="00035635">
        <w:t>”</w:t>
      </w:r>
      <w:r w:rsidR="00E368F0" w:rsidRPr="00035635">
        <w:t xml:space="preserve"> </w:t>
      </w:r>
      <w:r w:rsidR="002B4828" w:rsidRPr="00035635">
        <w:t xml:space="preserve">                                                                                         </w:t>
      </w:r>
    </w:p>
    <w:p w14:paraId="45EECB7B" w14:textId="77777777" w:rsidR="00035635" w:rsidRDefault="00035635" w:rsidP="00035635">
      <w:pPr>
        <w:jc w:val="both"/>
      </w:pPr>
    </w:p>
    <w:p w14:paraId="75010A38" w14:textId="5E127E90" w:rsidR="009B34AF" w:rsidRPr="00035635" w:rsidRDefault="00E368F0" w:rsidP="00035635">
      <w:pPr>
        <w:jc w:val="both"/>
      </w:pPr>
      <w:r w:rsidRPr="00035635">
        <w:t>The legislation must be op</w:t>
      </w:r>
      <w:r w:rsidR="0081652C">
        <w:t>posed for the following reasons:</w:t>
      </w:r>
      <w:r w:rsidRPr="00035635">
        <w:t xml:space="preserve"> First, the Bill would overlay yet a different understanding of the parameters of hate speech</w:t>
      </w:r>
      <w:r w:rsidR="002B4828" w:rsidRPr="00035635">
        <w:t xml:space="preserve"> onto</w:t>
      </w:r>
      <w:r w:rsidR="009B34AF" w:rsidRPr="00035635">
        <w:t xml:space="preserve"> the South African legal landscape, fueling </w:t>
      </w:r>
      <w:r w:rsidR="007B056E" w:rsidRPr="00035635">
        <w:t xml:space="preserve">even more </w:t>
      </w:r>
      <w:r w:rsidR="009B34AF" w:rsidRPr="00035635">
        <w:t xml:space="preserve">confusion. Second, it unconstitutionally extends hate speech beyond </w:t>
      </w:r>
      <w:r w:rsidR="009B34AF" w:rsidRPr="00035635">
        <w:rPr>
          <w:i/>
        </w:rPr>
        <w:t>s</w:t>
      </w:r>
      <w:r w:rsidR="009B34AF" w:rsidRPr="00035635">
        <w:t xml:space="preserve">16(2)(c) </w:t>
      </w:r>
      <w:r w:rsidR="00AB74A5" w:rsidRPr="00035635">
        <w:t>since it applies</w:t>
      </w:r>
      <w:r w:rsidR="009B34AF" w:rsidRPr="00035635">
        <w:t xml:space="preserve"> to speech that simply </w:t>
      </w:r>
      <w:r w:rsidR="00263207" w:rsidRPr="00035635">
        <w:t>causes</w:t>
      </w:r>
      <w:r w:rsidR="00F57C2F" w:rsidRPr="00035635">
        <w:t xml:space="preserve"> </w:t>
      </w:r>
      <w:r w:rsidR="009B34AF" w:rsidRPr="00035635">
        <w:t>“</w:t>
      </w:r>
      <w:r w:rsidR="00F57C2F" w:rsidRPr="00035635">
        <w:t>contempt or ridicule</w:t>
      </w:r>
      <w:r w:rsidR="00A546D2" w:rsidRPr="00035635">
        <w:t xml:space="preserve">.” </w:t>
      </w:r>
      <w:r w:rsidR="00051A49" w:rsidRPr="00035635">
        <w:t xml:space="preserve">As with </w:t>
      </w:r>
      <w:r w:rsidR="009B34AF" w:rsidRPr="00035635">
        <w:t xml:space="preserve">the Equality Act, it also protects groups with different characteristics (e.g., albinism, gender identity, intersex) from those delimited in </w:t>
      </w:r>
      <w:r w:rsidR="009B34AF" w:rsidRPr="00035635">
        <w:rPr>
          <w:i/>
        </w:rPr>
        <w:t>s</w:t>
      </w:r>
      <w:r w:rsidR="009B34AF" w:rsidRPr="00035635">
        <w:t>16(2)(c)</w:t>
      </w:r>
      <w:r w:rsidR="00265592" w:rsidRPr="00035635">
        <w:t xml:space="preserve"> (“race, ethnicity, gender and religion”)</w:t>
      </w:r>
      <w:r w:rsidR="009B34AF" w:rsidRPr="00035635">
        <w:t>. Finally, the criminal sanctions attached to a violation would have a general “chilling effect” on speech, undermining the right to freedom of expression itself.</w:t>
      </w:r>
      <w:r w:rsidR="004A3797" w:rsidRPr="00035635">
        <w:t xml:space="preserve"> </w:t>
      </w:r>
    </w:p>
    <w:p w14:paraId="43F1ECB2" w14:textId="77777777" w:rsidR="00DD251E" w:rsidRPr="00035635" w:rsidRDefault="00DD251E" w:rsidP="00035635">
      <w:pPr>
        <w:jc w:val="both"/>
      </w:pPr>
    </w:p>
    <w:p w14:paraId="3312474D" w14:textId="77777777" w:rsidR="00E3321F" w:rsidRPr="00035635" w:rsidRDefault="00E45788" w:rsidP="00035635">
      <w:pPr>
        <w:pStyle w:val="ListParagraph"/>
        <w:numPr>
          <w:ilvl w:val="0"/>
          <w:numId w:val="1"/>
        </w:numPr>
        <w:jc w:val="both"/>
        <w:rPr>
          <w:rFonts w:ascii="Times New Roman" w:hAnsi="Times New Roman" w:cs="Times New Roman"/>
          <w:b/>
          <w:sz w:val="28"/>
          <w:szCs w:val="28"/>
          <w:u w:val="single"/>
        </w:rPr>
      </w:pPr>
      <w:r w:rsidRPr="00035635">
        <w:rPr>
          <w:rFonts w:ascii="Times New Roman" w:hAnsi="Times New Roman" w:cs="Times New Roman"/>
          <w:b/>
          <w:sz w:val="28"/>
          <w:szCs w:val="28"/>
          <w:u w:val="single"/>
        </w:rPr>
        <w:t>Hate Speech and Social Media</w:t>
      </w:r>
    </w:p>
    <w:p w14:paraId="5F461842" w14:textId="77777777" w:rsidR="00E3321F" w:rsidRPr="00035635" w:rsidRDefault="00E3321F" w:rsidP="00035635">
      <w:pPr>
        <w:jc w:val="both"/>
      </w:pPr>
    </w:p>
    <w:p w14:paraId="1F1D7A2A" w14:textId="564021DC" w:rsidR="009B34AF" w:rsidRPr="00035635" w:rsidRDefault="00C461BD" w:rsidP="00035635">
      <w:pPr>
        <w:jc w:val="both"/>
      </w:pPr>
      <w:r w:rsidRPr="00035635">
        <w:t>Since hate speech was hastily added to the Prevention Bill of 2016 in the aftermath of several public rants—some of which</w:t>
      </w:r>
      <w:r w:rsidR="004646EA" w:rsidRPr="00035635">
        <w:t xml:space="preserve"> were on social media platforms (e.g., </w:t>
      </w:r>
      <w:r w:rsidR="00392C14" w:rsidRPr="00035635">
        <w:t xml:space="preserve">the </w:t>
      </w:r>
      <w:r w:rsidR="004646EA" w:rsidRPr="00035635">
        <w:t>Penny Sparrow</w:t>
      </w:r>
      <w:r w:rsidR="00392C14" w:rsidRPr="00035635">
        <w:t xml:space="preserve"> incident</w:t>
      </w:r>
      <w:r w:rsidR="004646EA" w:rsidRPr="00035635">
        <w:t>)—it is important to briefly examine how social media has affec</w:t>
      </w:r>
      <w:r w:rsidR="00694701" w:rsidRPr="00035635">
        <w:t>ted the hate-speech landscape.</w:t>
      </w:r>
      <w:r w:rsidR="004646EA" w:rsidRPr="00035635">
        <w:t xml:space="preserve"> Despite the changing nature of communications, the FXI cautions against restrictions on the right to freedom of expression that expand beyond </w:t>
      </w:r>
      <w:r w:rsidR="004646EA" w:rsidRPr="00035635">
        <w:rPr>
          <w:i/>
        </w:rPr>
        <w:t>s</w:t>
      </w:r>
      <w:r w:rsidR="004646EA" w:rsidRPr="00035635">
        <w:t xml:space="preserve">16(2)(c), especially since cases </w:t>
      </w:r>
      <w:r w:rsidR="00F75448">
        <w:t>involving</w:t>
      </w:r>
      <w:r w:rsidR="004646EA" w:rsidRPr="00035635">
        <w:t xml:space="preserve"> social media make up a small percentage of the caseload for both the FXI (10%) and the E</w:t>
      </w:r>
      <w:r w:rsidR="00D27647" w:rsidRPr="00035635">
        <w:t>quality Courts themselves (9%)</w:t>
      </w:r>
      <w:r w:rsidR="004646EA" w:rsidRPr="00035635">
        <w:t>.</w:t>
      </w:r>
      <w:r w:rsidR="005E5194" w:rsidRPr="00035635">
        <w:rPr>
          <w:rStyle w:val="FootnoteReference"/>
        </w:rPr>
        <w:footnoteReference w:id="12"/>
      </w:r>
      <w:r w:rsidR="00FC3054" w:rsidRPr="00035635">
        <w:t xml:space="preserve"> </w:t>
      </w:r>
      <w:r w:rsidR="004646EA" w:rsidRPr="00035635">
        <w:t>With the advent of th</w:t>
      </w:r>
      <w:r w:rsidR="000F5487" w:rsidRPr="00035635">
        <w:t>e Prevention Bill, which</w:t>
      </w:r>
      <w:r w:rsidR="004646EA" w:rsidRPr="00035635">
        <w:t xml:space="preserve"> </w:t>
      </w:r>
      <w:r w:rsidR="00AA7FFD" w:rsidRPr="00035635">
        <w:t xml:space="preserve">clearly </w:t>
      </w:r>
      <w:r w:rsidR="004646EA" w:rsidRPr="00035635">
        <w:t>aims to regulate electronic communication</w:t>
      </w:r>
      <w:r w:rsidR="00AA7FFD" w:rsidRPr="00035635">
        <w:t>,</w:t>
      </w:r>
      <w:r w:rsidR="00AA7FFD" w:rsidRPr="00035635">
        <w:rPr>
          <w:rStyle w:val="FootnoteReference"/>
        </w:rPr>
        <w:footnoteReference w:id="13"/>
      </w:r>
      <w:r w:rsidR="00AA7FFD" w:rsidRPr="00035635">
        <w:t xml:space="preserve"> </w:t>
      </w:r>
      <w:r w:rsidR="00D156D6" w:rsidRPr="00035635">
        <w:t>an</w:t>
      </w:r>
      <w:r w:rsidR="000F5487" w:rsidRPr="00035635">
        <w:t xml:space="preserve"> emphasis on</w:t>
      </w:r>
      <w:r w:rsidR="004646EA" w:rsidRPr="00035635">
        <w:t xml:space="preserve"> freedom of </w:t>
      </w:r>
      <w:r w:rsidR="004646EA" w:rsidRPr="00035635">
        <w:lastRenderedPageBreak/>
        <w:t xml:space="preserve">expression </w:t>
      </w:r>
      <w:r w:rsidR="000A249C" w:rsidRPr="00035635">
        <w:t>on these</w:t>
      </w:r>
      <w:r w:rsidR="003157E1" w:rsidRPr="00035635">
        <w:t xml:space="preserve"> platforms</w:t>
      </w:r>
      <w:r w:rsidR="004646EA" w:rsidRPr="00035635">
        <w:t xml:space="preserve"> increases in importance. As with regular expression, </w:t>
      </w:r>
      <w:r w:rsidR="004646EA" w:rsidRPr="00035635">
        <w:rPr>
          <w:i/>
        </w:rPr>
        <w:t>s</w:t>
      </w:r>
      <w:r w:rsidR="004646EA" w:rsidRPr="00035635">
        <w:t>16(2)(c)</w:t>
      </w:r>
      <w:r w:rsidR="009933CF" w:rsidRPr="00035635">
        <w:t xml:space="preserve"> (</w:t>
      </w:r>
      <w:r w:rsidR="00870A3E" w:rsidRPr="00035635">
        <w:t>only limiting</w:t>
      </w:r>
      <w:r w:rsidR="006C6D84" w:rsidRPr="00035635">
        <w:t xml:space="preserve"> an</w:t>
      </w:r>
      <w:r w:rsidR="009933CF" w:rsidRPr="00035635">
        <w:t xml:space="preserve"> expression</w:t>
      </w:r>
      <w:r w:rsidR="006C6D84" w:rsidRPr="00035635">
        <w:t>, if it</w:t>
      </w:r>
      <w:r w:rsidR="001359F1" w:rsidRPr="00035635">
        <w:t xml:space="preserve"> constitute</w:t>
      </w:r>
      <w:r w:rsidR="006C6D84" w:rsidRPr="00035635">
        <w:t>s</w:t>
      </w:r>
      <w:r w:rsidR="00025DF0" w:rsidRPr="00035635">
        <w:t xml:space="preserve"> “(a) propaganda </w:t>
      </w:r>
      <w:r w:rsidR="00870A3E" w:rsidRPr="00035635">
        <w:t>for war,</w:t>
      </w:r>
      <w:r w:rsidR="00025DF0" w:rsidRPr="00035635">
        <w:t xml:space="preserve"> (b) incitement of imminent violence</w:t>
      </w:r>
      <w:r w:rsidR="00870A3E" w:rsidRPr="00035635">
        <w:t>,</w:t>
      </w:r>
      <w:r w:rsidR="00025DF0" w:rsidRPr="00035635">
        <w:t xml:space="preserve"> or (c) advocacy of hatred that is based on race, ethnicity, gender or religion and that constitutes incitement to cause harm”</w:t>
      </w:r>
      <w:r w:rsidR="002B6966" w:rsidRPr="00035635">
        <w:t>)</w:t>
      </w:r>
      <w:r w:rsidR="004646EA" w:rsidRPr="00035635">
        <w:t xml:space="preserve"> should provide adequate guidance on hate speech parameters over the Equality Act or the Prevention Bill</w:t>
      </w:r>
      <w:r w:rsidR="00801C1B" w:rsidRPr="00035635">
        <w:t xml:space="preserve"> in the context</w:t>
      </w:r>
      <w:r w:rsidR="00EB4623" w:rsidRPr="00035635">
        <w:t xml:space="preserve"> of electronic </w:t>
      </w:r>
      <w:r w:rsidR="00792277" w:rsidRPr="00035635">
        <w:t>mediums</w:t>
      </w:r>
      <w:r w:rsidR="004646EA" w:rsidRPr="00035635">
        <w:t xml:space="preserve">. </w:t>
      </w:r>
    </w:p>
    <w:p w14:paraId="48E45D19" w14:textId="77777777" w:rsidR="00BE1633" w:rsidRPr="00035635" w:rsidRDefault="00BE1633" w:rsidP="00035635">
      <w:pPr>
        <w:jc w:val="both"/>
      </w:pPr>
    </w:p>
    <w:p w14:paraId="7BD458A0" w14:textId="77777777" w:rsidR="00BE1633" w:rsidRPr="00035635" w:rsidRDefault="00C75043" w:rsidP="00035635">
      <w:pPr>
        <w:pStyle w:val="ListParagraph"/>
        <w:numPr>
          <w:ilvl w:val="0"/>
          <w:numId w:val="1"/>
        </w:numPr>
        <w:jc w:val="both"/>
        <w:rPr>
          <w:rFonts w:ascii="Times New Roman" w:hAnsi="Times New Roman" w:cs="Times New Roman"/>
          <w:b/>
          <w:sz w:val="28"/>
          <w:szCs w:val="28"/>
          <w:u w:val="single"/>
        </w:rPr>
      </w:pPr>
      <w:r w:rsidRPr="00035635">
        <w:rPr>
          <w:rFonts w:ascii="Times New Roman" w:hAnsi="Times New Roman" w:cs="Times New Roman"/>
          <w:b/>
          <w:sz w:val="28"/>
          <w:szCs w:val="28"/>
          <w:u w:val="single"/>
        </w:rPr>
        <w:t>The SAHRC and the Equality Courts</w:t>
      </w:r>
    </w:p>
    <w:p w14:paraId="1C58FC72" w14:textId="77777777" w:rsidR="009F3944" w:rsidRPr="00035635" w:rsidRDefault="009F3944" w:rsidP="00035635">
      <w:pPr>
        <w:jc w:val="both"/>
        <w:rPr>
          <w:b/>
          <w:sz w:val="28"/>
          <w:szCs w:val="28"/>
          <w:u w:val="single"/>
        </w:rPr>
      </w:pPr>
    </w:p>
    <w:p w14:paraId="1CD960E1" w14:textId="1A8D1E22" w:rsidR="00DA677F" w:rsidRPr="00035635" w:rsidRDefault="00AD195A" w:rsidP="00035635">
      <w:pPr>
        <w:jc w:val="both"/>
      </w:pPr>
      <w:r w:rsidRPr="00035635">
        <w:t xml:space="preserve">Despite the overextension of the parameters of hate speech, incidents </w:t>
      </w:r>
      <w:r w:rsidR="009D2E59" w:rsidRPr="00035635">
        <w:t>falling within the Constitutional (and</w:t>
      </w:r>
      <w:r w:rsidR="00FF07E5" w:rsidRPr="00035635">
        <w:t>—</w:t>
      </w:r>
      <w:r w:rsidR="009D2E59" w:rsidRPr="00035635">
        <w:t>as</w:t>
      </w:r>
      <w:r w:rsidR="00FF07E5" w:rsidRPr="00035635">
        <w:t xml:space="preserve"> long as it stays on the books—</w:t>
      </w:r>
      <w:r w:rsidR="009D2E59" w:rsidRPr="00035635">
        <w:t>the Equality Act’</w:t>
      </w:r>
      <w:r w:rsidR="00BC2F04" w:rsidRPr="00035635">
        <w:t xml:space="preserve">s) limits </w:t>
      </w:r>
      <w:r w:rsidR="00BD5BF1" w:rsidRPr="00035635">
        <w:t xml:space="preserve">do occur. In these instances, access to </w:t>
      </w:r>
      <w:r w:rsidR="00170A28" w:rsidRPr="00035635">
        <w:t xml:space="preserve">justice and </w:t>
      </w:r>
      <w:r w:rsidR="00183274" w:rsidRPr="00035635">
        <w:t xml:space="preserve">potential </w:t>
      </w:r>
      <w:r w:rsidR="00170A28" w:rsidRPr="00035635">
        <w:t>remedies</w:t>
      </w:r>
      <w:r w:rsidR="00183274" w:rsidRPr="00035635">
        <w:t xml:space="preserve"> is essential </w:t>
      </w:r>
      <w:r w:rsidR="0075421F" w:rsidRPr="00035635">
        <w:t xml:space="preserve">to providing a sense of legitimacy to the South African legal system. Fortunately, there are two main </w:t>
      </w:r>
      <w:r w:rsidR="00374619" w:rsidRPr="00035635">
        <w:t>place</w:t>
      </w:r>
      <w:r w:rsidR="007B6F68">
        <w:t>s where South Africans can</w:t>
      </w:r>
      <w:r w:rsidR="00374619" w:rsidRPr="00035635">
        <w:t xml:space="preserve"> have their grievances addressed: (a) the South African Human Rights Commission and (b) the Equality Courts.</w:t>
      </w:r>
    </w:p>
    <w:p w14:paraId="5A666BCE" w14:textId="77777777" w:rsidR="00632EEF" w:rsidRPr="00035635" w:rsidRDefault="00632EEF" w:rsidP="00035635">
      <w:pPr>
        <w:jc w:val="both"/>
      </w:pPr>
    </w:p>
    <w:p w14:paraId="2642B666" w14:textId="77777777" w:rsidR="00632EEF" w:rsidRPr="00035635" w:rsidRDefault="00632EEF" w:rsidP="00035635">
      <w:pPr>
        <w:pStyle w:val="ListParagraph"/>
        <w:numPr>
          <w:ilvl w:val="0"/>
          <w:numId w:val="8"/>
        </w:numPr>
        <w:jc w:val="both"/>
        <w:rPr>
          <w:rFonts w:ascii="Times New Roman" w:hAnsi="Times New Roman" w:cs="Times New Roman"/>
          <w:u w:val="single"/>
        </w:rPr>
      </w:pPr>
      <w:r w:rsidRPr="00035635">
        <w:rPr>
          <w:rFonts w:ascii="Times New Roman" w:hAnsi="Times New Roman" w:cs="Times New Roman"/>
          <w:u w:val="single"/>
        </w:rPr>
        <w:t>The South African Human Rights Commission</w:t>
      </w:r>
    </w:p>
    <w:p w14:paraId="685C247E" w14:textId="77777777" w:rsidR="00453814" w:rsidRPr="00035635" w:rsidRDefault="00453814" w:rsidP="00035635">
      <w:pPr>
        <w:jc w:val="both"/>
      </w:pPr>
    </w:p>
    <w:p w14:paraId="31F0F3E1" w14:textId="0AEAE334" w:rsidR="00DC72DA" w:rsidRPr="00035635" w:rsidRDefault="00DC72DA" w:rsidP="00035635">
      <w:pPr>
        <w:jc w:val="both"/>
      </w:pPr>
      <w:r w:rsidRPr="00035635">
        <w:t xml:space="preserve">The SAHRC is a constitutionally-ordained body (section </w:t>
      </w:r>
      <w:r w:rsidR="00D36E98" w:rsidRPr="00035635">
        <w:t>184 of the Constitution</w:t>
      </w:r>
      <w:r w:rsidRPr="00035635">
        <w:t xml:space="preserve">) where individuals may lodge complaints </w:t>
      </w:r>
      <w:r w:rsidR="006D31AE" w:rsidRPr="00035635">
        <w:t>when their rights</w:t>
      </w:r>
      <w:r w:rsidR="00294CF8" w:rsidRPr="00035635">
        <w:t>,</w:t>
      </w:r>
      <w:r w:rsidR="006D31AE" w:rsidRPr="00035635">
        <w:t xml:space="preserve"> as protected in the Bill of Rights</w:t>
      </w:r>
      <w:r w:rsidR="00F83C87" w:rsidRPr="00035635">
        <w:t xml:space="preserve"> (</w:t>
      </w:r>
      <w:r w:rsidR="00F83C87" w:rsidRPr="00035635">
        <w:rPr>
          <w:i/>
        </w:rPr>
        <w:t>s</w:t>
      </w:r>
      <w:r w:rsidR="005D2D29" w:rsidRPr="00035635">
        <w:t>7</w:t>
      </w:r>
      <w:r w:rsidR="00A45CE7" w:rsidRPr="00035635">
        <w:t xml:space="preserve"> </w:t>
      </w:r>
      <w:r w:rsidR="00F83C87" w:rsidRPr="00035635">
        <w:t>-</w:t>
      </w:r>
      <w:r w:rsidR="00F83C87" w:rsidRPr="00035635">
        <w:rPr>
          <w:i/>
        </w:rPr>
        <w:t>s</w:t>
      </w:r>
      <w:r w:rsidR="005D2D29" w:rsidRPr="00035635">
        <w:t>39</w:t>
      </w:r>
      <w:r w:rsidR="00F83C87" w:rsidRPr="00035635">
        <w:t>)</w:t>
      </w:r>
      <w:r w:rsidR="00294CF8" w:rsidRPr="00035635">
        <w:t>,</w:t>
      </w:r>
      <w:r w:rsidR="00F83C87" w:rsidRPr="00035635">
        <w:t xml:space="preserve"> are violated. In the context of hate speech, those with grievances </w:t>
      </w:r>
      <w:r w:rsidR="00D44A14" w:rsidRPr="00035635">
        <w:t xml:space="preserve">lay a complaint against the perpetrator with the SAHRC, which adjudicates on the matter. If the commission decides that further court action is necessary, it will take the matter to </w:t>
      </w:r>
      <w:r w:rsidR="00846D72" w:rsidRPr="00035635">
        <w:t>a formal court as in the</w:t>
      </w:r>
      <w:r w:rsidR="00B420DB" w:rsidRPr="00035635">
        <w:t xml:space="preserve"> </w:t>
      </w:r>
      <w:r w:rsidR="00B420DB" w:rsidRPr="00035635">
        <w:rPr>
          <w:i/>
        </w:rPr>
        <w:t>South African Human Rights Commission v Qwelane</w:t>
      </w:r>
      <w:r w:rsidR="008A412D" w:rsidRPr="00035635">
        <w:t>, which</w:t>
      </w:r>
      <w:r w:rsidR="00927A66">
        <w:t xml:space="preserve"> originally submitted </w:t>
      </w:r>
      <w:r w:rsidR="00E21A68" w:rsidRPr="00035635">
        <w:t>the case to the Johannesburg Equality Court</w:t>
      </w:r>
      <w:r w:rsidR="00B420DB" w:rsidRPr="00035635">
        <w:t>.</w:t>
      </w:r>
    </w:p>
    <w:p w14:paraId="03C8CD1E" w14:textId="77777777" w:rsidR="00011D9B" w:rsidRPr="00035635" w:rsidRDefault="00011D9B" w:rsidP="00035635">
      <w:pPr>
        <w:jc w:val="both"/>
      </w:pPr>
    </w:p>
    <w:p w14:paraId="4971AB39" w14:textId="77777777" w:rsidR="00011D9B" w:rsidRPr="00035635" w:rsidRDefault="00CA31D8" w:rsidP="00035635">
      <w:pPr>
        <w:pStyle w:val="ListParagraph"/>
        <w:numPr>
          <w:ilvl w:val="0"/>
          <w:numId w:val="8"/>
        </w:numPr>
        <w:jc w:val="both"/>
        <w:rPr>
          <w:rFonts w:ascii="Times New Roman" w:hAnsi="Times New Roman" w:cs="Times New Roman"/>
        </w:rPr>
      </w:pPr>
      <w:r w:rsidRPr="00035635">
        <w:rPr>
          <w:rFonts w:ascii="Times New Roman" w:hAnsi="Times New Roman" w:cs="Times New Roman"/>
          <w:u w:val="single"/>
        </w:rPr>
        <w:t>The Equality Courts</w:t>
      </w:r>
    </w:p>
    <w:p w14:paraId="28C293CF" w14:textId="77777777" w:rsidR="0030571D" w:rsidRPr="00035635" w:rsidRDefault="0030571D" w:rsidP="00035635">
      <w:pPr>
        <w:jc w:val="both"/>
      </w:pPr>
    </w:p>
    <w:p w14:paraId="4BAD2778" w14:textId="6C290BC1" w:rsidR="00A61FA9" w:rsidRPr="00035635" w:rsidRDefault="002B1EE2" w:rsidP="00035635">
      <w:pPr>
        <w:jc w:val="both"/>
      </w:pPr>
      <w:r w:rsidRPr="00035635">
        <w:t xml:space="preserve">The Equality Act, under the authority of </w:t>
      </w:r>
      <w:r w:rsidRPr="00035635">
        <w:rPr>
          <w:i/>
        </w:rPr>
        <w:t>s</w:t>
      </w:r>
      <w:r w:rsidRPr="00035635">
        <w:t xml:space="preserve">9 </w:t>
      </w:r>
      <w:r w:rsidR="007740B2" w:rsidRPr="00035635">
        <w:t xml:space="preserve">of the Constitution, established the Equality Courts to adjudicate matters relating to the right to equality, unfair discrimination and hate speech. Despite problematic aspects of the hate speech “definition” in the Equality Act, the FXI </w:t>
      </w:r>
      <w:r w:rsidR="00927A66">
        <w:t>believes</w:t>
      </w:r>
      <w:r w:rsidR="007740B2" w:rsidRPr="00035635">
        <w:t xml:space="preserve"> that the Equality Courts are a valuable tool for eradica</w:t>
      </w:r>
      <w:r w:rsidR="00EE3690">
        <w:t xml:space="preserve">ting the spectre of apartheid </w:t>
      </w:r>
      <w:r w:rsidR="007740B2" w:rsidRPr="00035635">
        <w:t>by legitimizing the voices of</w:t>
      </w:r>
      <w:r w:rsidR="007043C9" w:rsidRPr="00035635">
        <w:t xml:space="preserve"> those who feel violated. </w:t>
      </w:r>
      <w:r w:rsidR="00A61FA9" w:rsidRPr="00035635">
        <w:t xml:space="preserve">However, there is evidence that the average South African remains </w:t>
      </w:r>
      <w:bookmarkStart w:id="0" w:name="_GoBack"/>
      <w:r w:rsidR="00A61FA9" w:rsidRPr="00035635">
        <w:t>un</w:t>
      </w:r>
      <w:r w:rsidR="00703868">
        <w:t>a</w:t>
      </w:r>
      <w:r w:rsidR="00A61FA9" w:rsidRPr="00035635">
        <w:t>ware</w:t>
      </w:r>
      <w:bookmarkEnd w:id="0"/>
      <w:r w:rsidR="00A61FA9" w:rsidRPr="00035635">
        <w:t xml:space="preserve"> of the existence or purpose of these courts.</w:t>
      </w:r>
      <w:r w:rsidR="007043C9" w:rsidRPr="00035635">
        <w:rPr>
          <w:rStyle w:val="FootnoteReference"/>
        </w:rPr>
        <w:footnoteReference w:id="14"/>
      </w:r>
      <w:r w:rsidR="00A61FA9" w:rsidRPr="00035635">
        <w:t xml:space="preserve"> This lack of awareness has eroded</w:t>
      </w:r>
      <w:r w:rsidR="00634756">
        <w:t xml:space="preserve"> the court’s usefulness; for example,</w:t>
      </w:r>
      <w:r w:rsidR="00A61FA9" w:rsidRPr="00035635">
        <w:t xml:space="preserve"> certain outposts of the </w:t>
      </w:r>
      <w:r w:rsidR="007C7CAD">
        <w:t>Equality C</w:t>
      </w:r>
      <w:r w:rsidR="00A61FA9" w:rsidRPr="00035635">
        <w:t xml:space="preserve">ourts have shut down because of a dearth of cases. </w:t>
      </w:r>
      <w:r w:rsidR="00A65E40" w:rsidRPr="00035635">
        <w:t>The availability of the Equality Court’s should be promoted since they serve an important function within South African society.</w:t>
      </w:r>
    </w:p>
    <w:p w14:paraId="4CCFF412" w14:textId="77777777" w:rsidR="005A7ECF" w:rsidRPr="00035635" w:rsidRDefault="005A7ECF" w:rsidP="00035635">
      <w:pPr>
        <w:jc w:val="both"/>
        <w:rPr>
          <w:b/>
          <w:sz w:val="28"/>
          <w:szCs w:val="28"/>
          <w:u w:val="single"/>
        </w:rPr>
      </w:pPr>
    </w:p>
    <w:p w14:paraId="60D32955" w14:textId="77777777" w:rsidR="00C23271" w:rsidRPr="00035635" w:rsidRDefault="00C23271" w:rsidP="00035635">
      <w:pPr>
        <w:jc w:val="both"/>
        <w:rPr>
          <w:b/>
          <w:sz w:val="28"/>
          <w:szCs w:val="28"/>
          <w:u w:val="single"/>
        </w:rPr>
      </w:pPr>
    </w:p>
    <w:p w14:paraId="1FE59712" w14:textId="77777777" w:rsidR="00C23271" w:rsidRPr="00035635" w:rsidRDefault="00C23271" w:rsidP="00035635">
      <w:pPr>
        <w:jc w:val="both"/>
        <w:rPr>
          <w:b/>
          <w:sz w:val="28"/>
          <w:szCs w:val="28"/>
          <w:u w:val="single"/>
        </w:rPr>
      </w:pPr>
    </w:p>
    <w:p w14:paraId="45E14450" w14:textId="77777777" w:rsidR="00C23271" w:rsidRDefault="00C23271" w:rsidP="00035635">
      <w:pPr>
        <w:jc w:val="both"/>
        <w:rPr>
          <w:b/>
          <w:sz w:val="28"/>
          <w:szCs w:val="28"/>
          <w:u w:val="single"/>
        </w:rPr>
      </w:pPr>
    </w:p>
    <w:p w14:paraId="32C9CAA1" w14:textId="77777777" w:rsidR="007B6F68" w:rsidRDefault="007B6F68" w:rsidP="00035635">
      <w:pPr>
        <w:jc w:val="both"/>
        <w:rPr>
          <w:b/>
          <w:sz w:val="28"/>
          <w:szCs w:val="28"/>
          <w:u w:val="single"/>
        </w:rPr>
      </w:pPr>
    </w:p>
    <w:p w14:paraId="2C7307DC" w14:textId="77777777" w:rsidR="007B6F68" w:rsidRDefault="007B6F68" w:rsidP="00035635">
      <w:pPr>
        <w:jc w:val="both"/>
        <w:rPr>
          <w:b/>
          <w:sz w:val="28"/>
          <w:szCs w:val="28"/>
          <w:u w:val="single"/>
        </w:rPr>
      </w:pPr>
    </w:p>
    <w:p w14:paraId="540156E8" w14:textId="77777777" w:rsidR="007B6F68" w:rsidRPr="00035635" w:rsidRDefault="007B6F68" w:rsidP="00035635">
      <w:pPr>
        <w:jc w:val="both"/>
        <w:rPr>
          <w:b/>
          <w:sz w:val="28"/>
          <w:szCs w:val="28"/>
          <w:u w:val="single"/>
        </w:rPr>
      </w:pPr>
    </w:p>
    <w:p w14:paraId="6E06826F" w14:textId="77777777" w:rsidR="00C23271" w:rsidRPr="00035635" w:rsidRDefault="00C23271" w:rsidP="00035635">
      <w:pPr>
        <w:jc w:val="both"/>
        <w:rPr>
          <w:b/>
          <w:sz w:val="28"/>
          <w:szCs w:val="28"/>
          <w:u w:val="single"/>
        </w:rPr>
      </w:pPr>
    </w:p>
    <w:p w14:paraId="0AC6C035" w14:textId="77777777" w:rsidR="00C23271" w:rsidRPr="00035635" w:rsidRDefault="006B7CDA" w:rsidP="00035635">
      <w:pPr>
        <w:pStyle w:val="ListParagraph"/>
        <w:numPr>
          <w:ilvl w:val="0"/>
          <w:numId w:val="1"/>
        </w:numPr>
        <w:jc w:val="both"/>
        <w:rPr>
          <w:rFonts w:ascii="Times New Roman" w:hAnsi="Times New Roman" w:cs="Times New Roman"/>
          <w:b/>
          <w:sz w:val="28"/>
          <w:szCs w:val="28"/>
        </w:rPr>
      </w:pPr>
      <w:r w:rsidRPr="00035635">
        <w:rPr>
          <w:rFonts w:ascii="Times New Roman" w:hAnsi="Times New Roman" w:cs="Times New Roman"/>
          <w:b/>
          <w:sz w:val="28"/>
          <w:szCs w:val="28"/>
          <w:u w:val="single"/>
        </w:rPr>
        <w:lastRenderedPageBreak/>
        <w:t>Frequently Asked Questions</w:t>
      </w:r>
      <w:r w:rsidR="00D328DD" w:rsidRPr="00035635">
        <w:rPr>
          <w:rFonts w:ascii="Times New Roman" w:hAnsi="Times New Roman" w:cs="Times New Roman"/>
          <w:b/>
          <w:sz w:val="28"/>
          <w:szCs w:val="28"/>
          <w:u w:val="single"/>
        </w:rPr>
        <w:t xml:space="preserve"> and (Brief) Answers</w:t>
      </w:r>
      <w:r w:rsidRPr="00035635">
        <w:rPr>
          <w:rFonts w:ascii="Times New Roman" w:hAnsi="Times New Roman" w:cs="Times New Roman"/>
          <w:b/>
          <w:sz w:val="28"/>
          <w:szCs w:val="28"/>
        </w:rPr>
        <w:t>:</w:t>
      </w:r>
    </w:p>
    <w:p w14:paraId="05C869AE" w14:textId="77777777" w:rsidR="006B7CDA" w:rsidRPr="00035635" w:rsidRDefault="006B7CDA" w:rsidP="00035635">
      <w:pPr>
        <w:jc w:val="both"/>
        <w:rPr>
          <w:b/>
        </w:rPr>
      </w:pPr>
    </w:p>
    <w:p w14:paraId="748AE311" w14:textId="77777777" w:rsidR="006B7CDA" w:rsidRPr="00035635" w:rsidRDefault="00683717" w:rsidP="00035635">
      <w:pPr>
        <w:pStyle w:val="ListParagraph"/>
        <w:numPr>
          <w:ilvl w:val="0"/>
          <w:numId w:val="9"/>
        </w:numPr>
        <w:jc w:val="both"/>
        <w:rPr>
          <w:rFonts w:ascii="Times New Roman" w:hAnsi="Times New Roman" w:cs="Times New Roman"/>
          <w:b/>
          <w:u w:val="single"/>
        </w:rPr>
      </w:pPr>
      <w:r w:rsidRPr="00035635">
        <w:rPr>
          <w:rFonts w:ascii="Times New Roman" w:hAnsi="Times New Roman" w:cs="Times New Roman"/>
          <w:b/>
          <w:u w:val="single"/>
        </w:rPr>
        <w:t>What is hate speech?</w:t>
      </w:r>
    </w:p>
    <w:p w14:paraId="0F35FF7C" w14:textId="77777777" w:rsidR="0035669E" w:rsidRPr="00035635" w:rsidRDefault="0035669E" w:rsidP="00035635">
      <w:pPr>
        <w:jc w:val="both"/>
        <w:rPr>
          <w:b/>
          <w:u w:val="single"/>
        </w:rPr>
      </w:pPr>
    </w:p>
    <w:p w14:paraId="2596F8B6" w14:textId="77777777" w:rsidR="000459AB" w:rsidRPr="00035635" w:rsidRDefault="00AC02F5" w:rsidP="00035635">
      <w:pPr>
        <w:jc w:val="both"/>
      </w:pPr>
      <w:r w:rsidRPr="00035635">
        <w:t xml:space="preserve">It is difficult to </w:t>
      </w:r>
      <w:r w:rsidR="009C1DB7" w:rsidRPr="00035635">
        <w:t xml:space="preserve">define </w:t>
      </w:r>
      <w:r w:rsidR="00450A5F" w:rsidRPr="00035635">
        <w:t xml:space="preserve">hate speech </w:t>
      </w:r>
      <w:r w:rsidR="005C0533" w:rsidRPr="00035635">
        <w:t>with exactness in the South African context</w:t>
      </w:r>
      <w:r w:rsidR="001E0EA9" w:rsidRPr="00035635">
        <w:t xml:space="preserve"> since the Constitution and subsequent legislation </w:t>
      </w:r>
      <w:r w:rsidR="00A71FBF" w:rsidRPr="00035635">
        <w:t xml:space="preserve">qualify its parameters </w:t>
      </w:r>
      <w:r w:rsidR="00A76DC0" w:rsidRPr="00035635">
        <w:t>in different ways.</w:t>
      </w:r>
      <w:r w:rsidR="00091C38" w:rsidRPr="00035635">
        <w:t xml:space="preserve"> </w:t>
      </w:r>
      <w:r w:rsidR="008543C9" w:rsidRPr="00035635">
        <w:t xml:space="preserve">In </w:t>
      </w:r>
      <w:r w:rsidR="00B4701A" w:rsidRPr="00035635">
        <w:t xml:space="preserve">cases such as these, the FXI believes that it is safest to rely on the Constitution. As laid out in </w:t>
      </w:r>
      <w:r w:rsidR="00B4701A" w:rsidRPr="00035635">
        <w:rPr>
          <w:i/>
        </w:rPr>
        <w:t>s</w:t>
      </w:r>
      <w:r w:rsidR="00B4701A" w:rsidRPr="00035635">
        <w:t>16(2)(c)</w:t>
      </w:r>
      <w:r w:rsidR="00E4207B" w:rsidRPr="00035635">
        <w:t xml:space="preserve">, hate speech relates to the </w:t>
      </w:r>
      <w:r w:rsidR="009B1282" w:rsidRPr="00035635">
        <w:t>“</w:t>
      </w:r>
      <w:r w:rsidR="00E4207B" w:rsidRPr="00035635">
        <w:t>advocacy of hatred that is based on race, ethnicity, gender or religion and that constitutes incitement to cause harm</w:t>
      </w:r>
      <w:r w:rsidR="009B1282" w:rsidRPr="00035635">
        <w:t>.”</w:t>
      </w:r>
      <w:r w:rsidR="00875002" w:rsidRPr="00035635">
        <w:t xml:space="preserve"> In order to understand the correct interpretation of this provisions and what behavior it covers, further litigation is required.</w:t>
      </w:r>
    </w:p>
    <w:p w14:paraId="2BD02E97" w14:textId="77777777" w:rsidR="00142E48" w:rsidRPr="00035635" w:rsidRDefault="00142E48" w:rsidP="00035635">
      <w:pPr>
        <w:jc w:val="both"/>
      </w:pPr>
    </w:p>
    <w:p w14:paraId="6C9833D7" w14:textId="77777777" w:rsidR="00142E48" w:rsidRPr="00035635" w:rsidRDefault="00142E48" w:rsidP="00035635">
      <w:pPr>
        <w:pStyle w:val="ListParagraph"/>
        <w:numPr>
          <w:ilvl w:val="0"/>
          <w:numId w:val="9"/>
        </w:numPr>
        <w:jc w:val="both"/>
        <w:rPr>
          <w:rFonts w:ascii="Times New Roman" w:hAnsi="Times New Roman" w:cs="Times New Roman"/>
          <w:b/>
          <w:u w:val="single"/>
        </w:rPr>
      </w:pPr>
      <w:r w:rsidRPr="00035635">
        <w:rPr>
          <w:rFonts w:ascii="Times New Roman" w:hAnsi="Times New Roman" w:cs="Times New Roman"/>
          <w:b/>
          <w:u w:val="single"/>
        </w:rPr>
        <w:t xml:space="preserve">How does current legislation interact with the constitutional “definition” of hate speech? </w:t>
      </w:r>
    </w:p>
    <w:p w14:paraId="2609A8E8" w14:textId="77777777" w:rsidR="00142E48" w:rsidRPr="00035635" w:rsidRDefault="00142E48" w:rsidP="00035635">
      <w:pPr>
        <w:jc w:val="both"/>
        <w:rPr>
          <w:b/>
          <w:u w:val="single"/>
        </w:rPr>
      </w:pPr>
    </w:p>
    <w:p w14:paraId="5BA1920A" w14:textId="77777777" w:rsidR="00142E48" w:rsidRPr="00035635" w:rsidRDefault="00142E48" w:rsidP="00035635">
      <w:pPr>
        <w:jc w:val="both"/>
      </w:pPr>
      <w:r w:rsidRPr="00035635">
        <w:t xml:space="preserve">As described above, the main legislative act </w:t>
      </w:r>
      <w:r w:rsidR="007422C6" w:rsidRPr="00035635">
        <w:t xml:space="preserve">qualifying the Constitutional definition of hate speech is </w:t>
      </w:r>
      <w:r w:rsidR="008754F3" w:rsidRPr="00035635">
        <w:t>the Promotion of Equality and Prevention of Unfair Discrimination Act of 2000</w:t>
      </w:r>
      <w:r w:rsidR="007B3051" w:rsidRPr="00035635">
        <w:t xml:space="preserve">. It defines the parameters of hate speech much more broadly than </w:t>
      </w:r>
      <w:r w:rsidR="003E39EC" w:rsidRPr="00035635">
        <w:t>the Consti</w:t>
      </w:r>
      <w:r w:rsidR="00796356" w:rsidRPr="00035635">
        <w:t>tutional</w:t>
      </w:r>
      <w:r w:rsidR="003E39EC" w:rsidRPr="00035635">
        <w:t xml:space="preserve"> </w:t>
      </w:r>
      <w:r w:rsidR="003E39EC" w:rsidRPr="00035635">
        <w:rPr>
          <w:i/>
        </w:rPr>
        <w:t>s</w:t>
      </w:r>
      <w:r w:rsidR="003E39EC" w:rsidRPr="00035635">
        <w:t>16(2)(c)</w:t>
      </w:r>
      <w:r w:rsidR="00796356" w:rsidRPr="00035635">
        <w:t xml:space="preserve"> provisions, especially since it draws its authority from the </w:t>
      </w:r>
      <w:r w:rsidR="00796356" w:rsidRPr="00035635">
        <w:rPr>
          <w:i/>
        </w:rPr>
        <w:t>s</w:t>
      </w:r>
      <w:r w:rsidR="00796356" w:rsidRPr="00035635">
        <w:t xml:space="preserve">9 right to equality. </w:t>
      </w:r>
      <w:r w:rsidR="006E3913" w:rsidRPr="00035635">
        <w:t xml:space="preserve">The Act protects many more “group characteristics” </w:t>
      </w:r>
      <w:r w:rsidR="00350B7F" w:rsidRPr="00035635">
        <w:t>a</w:t>
      </w:r>
      <w:r w:rsidR="003D4C8A" w:rsidRPr="00035635">
        <w:t xml:space="preserve">nd protects against speech that is “hurtful” </w:t>
      </w:r>
      <w:r w:rsidR="00260D5F" w:rsidRPr="00035635">
        <w:t>in some cases</w:t>
      </w:r>
      <w:r w:rsidR="00F60384" w:rsidRPr="00035635">
        <w:t xml:space="preserve">, instead </w:t>
      </w:r>
      <w:r w:rsidR="00F31CB0" w:rsidRPr="00035635">
        <w:t xml:space="preserve">of </w:t>
      </w:r>
      <w:r w:rsidR="007B26D5" w:rsidRPr="00035635">
        <w:t xml:space="preserve">speech that </w:t>
      </w:r>
      <w:r w:rsidR="0082798E" w:rsidRPr="00035635">
        <w:t>incites harm.</w:t>
      </w:r>
    </w:p>
    <w:p w14:paraId="606C6797" w14:textId="77777777" w:rsidR="00353251" w:rsidRPr="00035635" w:rsidRDefault="00353251" w:rsidP="00035635">
      <w:pPr>
        <w:jc w:val="both"/>
        <w:rPr>
          <w:b/>
          <w:u w:val="single"/>
        </w:rPr>
      </w:pPr>
    </w:p>
    <w:p w14:paraId="39CF0384" w14:textId="77777777" w:rsidR="00353251" w:rsidRPr="00035635" w:rsidRDefault="00644ED0" w:rsidP="00035635">
      <w:pPr>
        <w:pStyle w:val="ListParagraph"/>
        <w:numPr>
          <w:ilvl w:val="0"/>
          <w:numId w:val="9"/>
        </w:numPr>
        <w:jc w:val="both"/>
        <w:rPr>
          <w:rFonts w:ascii="Times New Roman" w:hAnsi="Times New Roman" w:cs="Times New Roman"/>
          <w:b/>
          <w:u w:val="single"/>
        </w:rPr>
      </w:pPr>
      <w:r w:rsidRPr="00035635">
        <w:rPr>
          <w:rFonts w:ascii="Times New Roman" w:hAnsi="Times New Roman" w:cs="Times New Roman"/>
          <w:b/>
          <w:u w:val="single"/>
        </w:rPr>
        <w:t xml:space="preserve">What </w:t>
      </w:r>
      <w:r w:rsidR="00CA1ACA" w:rsidRPr="00035635">
        <w:rPr>
          <w:rFonts w:ascii="Times New Roman" w:hAnsi="Times New Roman" w:cs="Times New Roman"/>
          <w:b/>
          <w:u w:val="single"/>
        </w:rPr>
        <w:t xml:space="preserve">are some examples of </w:t>
      </w:r>
      <w:r w:rsidR="0030286E" w:rsidRPr="00035635">
        <w:rPr>
          <w:rFonts w:ascii="Times New Roman" w:hAnsi="Times New Roman" w:cs="Times New Roman"/>
          <w:b/>
          <w:u w:val="single"/>
        </w:rPr>
        <w:t xml:space="preserve">cases involving hate speech </w:t>
      </w:r>
      <w:r w:rsidR="00347301" w:rsidRPr="00035635">
        <w:rPr>
          <w:rFonts w:ascii="Times New Roman" w:hAnsi="Times New Roman" w:cs="Times New Roman"/>
          <w:b/>
          <w:u w:val="single"/>
        </w:rPr>
        <w:t>and their outcomes?</w:t>
      </w:r>
    </w:p>
    <w:p w14:paraId="55C6BBDD" w14:textId="77777777" w:rsidR="00CA1ACA" w:rsidRPr="00035635" w:rsidRDefault="00CA1ACA" w:rsidP="00035635">
      <w:pPr>
        <w:jc w:val="both"/>
        <w:rPr>
          <w:b/>
          <w:u w:val="single"/>
        </w:rPr>
      </w:pPr>
    </w:p>
    <w:p w14:paraId="4421F01E" w14:textId="77777777" w:rsidR="00CA1ACA" w:rsidRPr="00035635" w:rsidRDefault="005F1DED" w:rsidP="00035635">
      <w:pPr>
        <w:jc w:val="both"/>
      </w:pPr>
      <w:r w:rsidRPr="00035635">
        <w:rPr>
          <w:i/>
        </w:rPr>
        <w:t>Sonke Gender Justice Network v Malema</w:t>
      </w:r>
      <w:r w:rsidR="00282A55" w:rsidRPr="00035635">
        <w:t>:</w:t>
      </w:r>
      <w:r w:rsidR="00256EEC" w:rsidRPr="00035635">
        <w:rPr>
          <w:rStyle w:val="FootnoteReference"/>
        </w:rPr>
        <w:footnoteReference w:id="15"/>
      </w:r>
      <w:r w:rsidR="00282A55" w:rsidRPr="00035635">
        <w:t xml:space="preserve"> </w:t>
      </w:r>
      <w:r w:rsidR="007D18D3" w:rsidRPr="00035635">
        <w:t xml:space="preserve">This case was brought before an Equality Court based on the comments of Mr. Malema insinuating that one of the woman </w:t>
      </w:r>
      <w:r w:rsidR="007A1A9B" w:rsidRPr="00035635">
        <w:t xml:space="preserve">who has allegedly been raped by Jacob Zuma had </w:t>
      </w:r>
      <w:r w:rsidR="008F4F09" w:rsidRPr="00035635">
        <w:t>“</w:t>
      </w:r>
      <w:r w:rsidR="007A1A9B" w:rsidRPr="00035635">
        <w:t>enjoyed her time</w:t>
      </w:r>
      <w:r w:rsidR="008F4F09" w:rsidRPr="00035635">
        <w:t xml:space="preserve">” with </w:t>
      </w:r>
      <w:r w:rsidR="000C32EB" w:rsidRPr="00035635">
        <w:t xml:space="preserve">him. </w:t>
      </w:r>
      <w:r w:rsidR="0062765E" w:rsidRPr="00035635">
        <w:t xml:space="preserve">The court held that Malema’s statement had, in fact, constituted hate speech since </w:t>
      </w:r>
      <w:r w:rsidR="00721CC6" w:rsidRPr="00035635">
        <w:t xml:space="preserve">it </w:t>
      </w:r>
      <w:r w:rsidR="00374C9C" w:rsidRPr="00035635">
        <w:t>infringed on the right of women to have their dignity respected</w:t>
      </w:r>
      <w:r w:rsidR="00FB588F" w:rsidRPr="00035635">
        <w:t xml:space="preserve">. This is a particularly wide interpretation of hate speech and does not appear to conform with the Constitution </w:t>
      </w:r>
      <w:r w:rsidR="00FB588F" w:rsidRPr="00035635">
        <w:rPr>
          <w:i/>
        </w:rPr>
        <w:t>s</w:t>
      </w:r>
      <w:r w:rsidR="00FB588F" w:rsidRPr="00035635">
        <w:t xml:space="preserve">16(2)(c) </w:t>
      </w:r>
      <w:r w:rsidR="009B5D71" w:rsidRPr="00035635">
        <w:t xml:space="preserve">since his statement, though offensive, did not </w:t>
      </w:r>
      <w:r w:rsidR="00D0583D" w:rsidRPr="00035635">
        <w:t xml:space="preserve">incite </w:t>
      </w:r>
      <w:r w:rsidR="00165295" w:rsidRPr="00035635">
        <w:t xml:space="preserve">harm or advocate hatred; instead, the decision emphasized the </w:t>
      </w:r>
      <w:r w:rsidR="00165295" w:rsidRPr="00035635">
        <w:rPr>
          <w:i/>
        </w:rPr>
        <w:t>s</w:t>
      </w:r>
      <w:r w:rsidR="00165295" w:rsidRPr="00035635">
        <w:t>10 right to dignity.</w:t>
      </w:r>
    </w:p>
    <w:p w14:paraId="650578C7" w14:textId="77777777" w:rsidR="007A6557" w:rsidRPr="00035635" w:rsidRDefault="007A6557" w:rsidP="00035635">
      <w:pPr>
        <w:jc w:val="both"/>
      </w:pPr>
    </w:p>
    <w:p w14:paraId="1DF747E1" w14:textId="77777777" w:rsidR="003B08A4" w:rsidRPr="00035635" w:rsidRDefault="003B08A4" w:rsidP="00035635">
      <w:pPr>
        <w:jc w:val="both"/>
      </w:pPr>
      <w:r w:rsidRPr="00035635">
        <w:rPr>
          <w:i/>
        </w:rPr>
        <w:t>Human Rights Commission</w:t>
      </w:r>
      <w:r w:rsidR="00596484" w:rsidRPr="00035635">
        <w:rPr>
          <w:i/>
        </w:rPr>
        <w:t xml:space="preserve"> of South Africa</w:t>
      </w:r>
      <w:r w:rsidRPr="00035635">
        <w:rPr>
          <w:i/>
        </w:rPr>
        <w:t xml:space="preserve"> v. SABC</w:t>
      </w:r>
      <w:r w:rsidRPr="00035635">
        <w:t>:</w:t>
      </w:r>
      <w:r w:rsidRPr="00035635">
        <w:rPr>
          <w:rStyle w:val="FootnoteReference"/>
        </w:rPr>
        <w:footnoteReference w:id="16"/>
      </w:r>
      <w:r w:rsidRPr="00035635">
        <w:t xml:space="preserve"> The Broadcasting Complaints Commission</w:t>
      </w:r>
      <w:r w:rsidR="001A748F" w:rsidRPr="00035635">
        <w:t xml:space="preserve"> held that derogatory and inflammatory statements about the Indian population in a Zulu song </w:t>
      </w:r>
      <w:r w:rsidR="00373818" w:rsidRPr="00035635">
        <w:t>were advocacy of hatred based on race. The song polarized Zulus and Indians by demeaning and insulting Indians</w:t>
      </w:r>
      <w:r w:rsidR="00995BC0" w:rsidRPr="00035635">
        <w:t xml:space="preserve"> and suggesting that they were “worse than whites.” This decision stands in contrast with the decision</w:t>
      </w:r>
      <w:r w:rsidR="006425E1" w:rsidRPr="00035635">
        <w:t xml:space="preserve"> in </w:t>
      </w:r>
      <w:r w:rsidR="006425E1" w:rsidRPr="00035635">
        <w:rPr>
          <w:i/>
        </w:rPr>
        <w:t>Jethalal v Ngema and Universal Music</w:t>
      </w:r>
      <w:r w:rsidR="00995BC0" w:rsidRPr="00035635">
        <w:t xml:space="preserve"> </w:t>
      </w:r>
      <w:r w:rsidR="00A148A4" w:rsidRPr="00035635">
        <w:t>(</w:t>
      </w:r>
      <w:r w:rsidR="00995BC0" w:rsidRPr="00035635">
        <w:t>discussed below</w:t>
      </w:r>
      <w:r w:rsidR="00A148A4" w:rsidRPr="00035635">
        <w:t>) where the Durban and Coastal Local Division of the High Court refused to recognize the same song as constituting hate speech</w:t>
      </w:r>
      <w:r w:rsidR="00DC5211" w:rsidRPr="00035635">
        <w:t xml:space="preserve"> since it did not constitute “incitement to cause harm</w:t>
      </w:r>
      <w:r w:rsidR="009F2ED8" w:rsidRPr="00035635">
        <w:t>.</w:t>
      </w:r>
      <w:r w:rsidR="00DC5211" w:rsidRPr="00035635">
        <w:t>”</w:t>
      </w:r>
      <w:r w:rsidR="00A148A4" w:rsidRPr="00035635">
        <w:t xml:space="preserve"> </w:t>
      </w:r>
      <w:r w:rsidR="00995BC0" w:rsidRPr="00035635">
        <w:t xml:space="preserve"> </w:t>
      </w:r>
    </w:p>
    <w:p w14:paraId="328D578F" w14:textId="77777777" w:rsidR="00347301" w:rsidRPr="00035635" w:rsidRDefault="00347301" w:rsidP="00035635">
      <w:pPr>
        <w:jc w:val="both"/>
        <w:rPr>
          <w:b/>
          <w:u w:val="single"/>
        </w:rPr>
      </w:pPr>
    </w:p>
    <w:p w14:paraId="7364D419" w14:textId="77777777" w:rsidR="00347301" w:rsidRPr="00035635" w:rsidRDefault="00670D78" w:rsidP="00035635">
      <w:pPr>
        <w:pStyle w:val="ListParagraph"/>
        <w:numPr>
          <w:ilvl w:val="0"/>
          <w:numId w:val="9"/>
        </w:numPr>
        <w:jc w:val="both"/>
        <w:rPr>
          <w:rFonts w:ascii="Times New Roman" w:hAnsi="Times New Roman" w:cs="Times New Roman"/>
          <w:b/>
          <w:sz w:val="28"/>
          <w:szCs w:val="28"/>
          <w:u w:val="single"/>
        </w:rPr>
      </w:pPr>
      <w:r w:rsidRPr="00035635">
        <w:rPr>
          <w:rFonts w:ascii="Times New Roman" w:hAnsi="Times New Roman" w:cs="Times New Roman"/>
          <w:b/>
          <w:u w:val="single"/>
        </w:rPr>
        <w:t>Does the context and environment play a role in determining what constitutes hate speech?</w:t>
      </w:r>
    </w:p>
    <w:p w14:paraId="7E29CA66" w14:textId="77777777" w:rsidR="00CB2D43" w:rsidRPr="00035635" w:rsidRDefault="00CB2D43" w:rsidP="00035635">
      <w:pPr>
        <w:jc w:val="both"/>
        <w:rPr>
          <w:b/>
          <w:sz w:val="28"/>
          <w:szCs w:val="28"/>
          <w:u w:val="single"/>
        </w:rPr>
      </w:pPr>
    </w:p>
    <w:p w14:paraId="2446AD0F" w14:textId="77777777" w:rsidR="00CB2D43" w:rsidRPr="00035635" w:rsidRDefault="00CB6723" w:rsidP="00035635">
      <w:pPr>
        <w:jc w:val="both"/>
      </w:pPr>
      <w:r w:rsidRPr="00035635">
        <w:t>This question d</w:t>
      </w:r>
      <w:r w:rsidR="00285169" w:rsidRPr="00035635">
        <w:t xml:space="preserve">raws from the outcome in </w:t>
      </w:r>
      <w:r w:rsidR="00285169" w:rsidRPr="00035635">
        <w:rPr>
          <w:i/>
        </w:rPr>
        <w:t>Jethalal v Ngema and Universal Music</w:t>
      </w:r>
      <w:r w:rsidR="00C10C2A" w:rsidRPr="00035635">
        <w:t>.</w:t>
      </w:r>
      <w:r w:rsidR="00015061" w:rsidRPr="00035635">
        <w:rPr>
          <w:rStyle w:val="FootnoteReference"/>
        </w:rPr>
        <w:footnoteReference w:id="17"/>
      </w:r>
      <w:r w:rsidR="00C10C2A" w:rsidRPr="00035635">
        <w:t xml:space="preserve"> In this case, </w:t>
      </w:r>
      <w:r w:rsidR="002B18D5" w:rsidRPr="00035635">
        <w:t xml:space="preserve">the </w:t>
      </w:r>
      <w:r w:rsidR="006E5423" w:rsidRPr="00035635">
        <w:t>High C</w:t>
      </w:r>
      <w:r w:rsidR="002B18D5" w:rsidRPr="00035635">
        <w:t xml:space="preserve">ourt </w:t>
      </w:r>
      <w:r w:rsidR="00C44DF5" w:rsidRPr="00035635">
        <w:t xml:space="preserve">held that </w:t>
      </w:r>
      <w:r w:rsidR="00275D8C" w:rsidRPr="00035635">
        <w:t>the song ‘AmanNdiya</w:t>
      </w:r>
      <w:r w:rsidR="00BA5D2E" w:rsidRPr="00035635">
        <w:t>,</w:t>
      </w:r>
      <w:r w:rsidR="00275D8C" w:rsidRPr="00035635">
        <w:t>’</w:t>
      </w:r>
      <w:r w:rsidR="00BA5D2E" w:rsidRPr="00035635">
        <w:t xml:space="preserve"> which contains ra</w:t>
      </w:r>
      <w:r w:rsidR="00E76193" w:rsidRPr="00035635">
        <w:t>cist lyrics towards peoples of Indian descent</w:t>
      </w:r>
      <w:r w:rsidR="00C10C2A" w:rsidRPr="00035635">
        <w:t xml:space="preserve">, </w:t>
      </w:r>
      <w:r w:rsidR="000F5341" w:rsidRPr="00035635">
        <w:t xml:space="preserve">did not constitute hate speech because there had not been a </w:t>
      </w:r>
      <w:r w:rsidR="006F30E0" w:rsidRPr="00035635">
        <w:t xml:space="preserve">single </w:t>
      </w:r>
      <w:r w:rsidR="006F30E0" w:rsidRPr="00035635">
        <w:lastRenderedPageBreak/>
        <w:t>documented case of violent action u</w:t>
      </w:r>
      <w:r w:rsidR="000A0F63" w:rsidRPr="00035635">
        <w:t xml:space="preserve">ndertaken against these people because </w:t>
      </w:r>
      <w:r w:rsidR="00D92092" w:rsidRPr="00035635">
        <w:t xml:space="preserve">of the </w:t>
      </w:r>
      <w:r w:rsidR="00322E8E" w:rsidRPr="00035635">
        <w:t>song</w:t>
      </w:r>
      <w:r w:rsidR="002822DE" w:rsidRPr="00035635">
        <w:t xml:space="preserve">. The High Court, thus, refused to extend an interim interdict </w:t>
      </w:r>
      <w:r w:rsidR="00A03F54" w:rsidRPr="00035635">
        <w:rPr>
          <w:rStyle w:val="t"/>
          <w:rFonts w:eastAsia="Times New Roman"/>
          <w:color w:val="000000"/>
          <w:bdr w:val="none" w:sz="0" w:space="0" w:color="auto" w:frame="1"/>
        </w:rPr>
        <w:t>prohibiting</w:t>
      </w:r>
      <w:r w:rsidR="002822DE" w:rsidRPr="00035635">
        <w:rPr>
          <w:rStyle w:val="t"/>
          <w:rFonts w:eastAsia="Times New Roman"/>
          <w:color w:val="000000"/>
          <w:bdr w:val="none" w:sz="0" w:space="0" w:color="auto" w:frame="1"/>
        </w:rPr>
        <w:t xml:space="preserve"> the publishing, marketing and</w:t>
      </w:r>
      <w:r w:rsidR="002822DE" w:rsidRPr="00035635">
        <w:rPr>
          <w:rStyle w:val="apple-converted-space"/>
          <w:rFonts w:eastAsia="Times New Roman"/>
          <w:color w:val="000000"/>
          <w:bdr w:val="none" w:sz="0" w:space="0" w:color="auto" w:frame="1"/>
        </w:rPr>
        <w:t> </w:t>
      </w:r>
      <w:r w:rsidR="002822DE" w:rsidRPr="00035635">
        <w:rPr>
          <w:rStyle w:val="t"/>
          <w:rFonts w:eastAsia="Times New Roman"/>
          <w:color w:val="000000"/>
          <w:bdr w:val="none" w:sz="0" w:space="0" w:color="auto" w:frame="1"/>
        </w:rPr>
        <w:t xml:space="preserve">selling </w:t>
      </w:r>
      <w:r w:rsidR="009E3A75" w:rsidRPr="00035635">
        <w:rPr>
          <w:rStyle w:val="t"/>
          <w:rFonts w:eastAsia="Times New Roman"/>
          <w:color w:val="000000"/>
          <w:bdr w:val="none" w:sz="0" w:space="0" w:color="auto" w:frame="1"/>
        </w:rPr>
        <w:t xml:space="preserve">of </w:t>
      </w:r>
      <w:r w:rsidR="002822DE" w:rsidRPr="00035635">
        <w:rPr>
          <w:rStyle w:val="t"/>
          <w:rFonts w:eastAsia="Times New Roman"/>
          <w:color w:val="000000"/>
          <w:bdr w:val="none" w:sz="0" w:space="0" w:color="auto" w:frame="1"/>
        </w:rPr>
        <w:t>the song</w:t>
      </w:r>
      <w:r w:rsidR="002969A6" w:rsidRPr="00035635">
        <w:t xml:space="preserve">. The fear of the applicant that </w:t>
      </w:r>
      <w:r w:rsidR="004F2270" w:rsidRPr="00035635">
        <w:t xml:space="preserve">the song would cause widespread bloodshed and </w:t>
      </w:r>
      <w:r w:rsidR="00872D75" w:rsidRPr="00035635">
        <w:t xml:space="preserve">race riots </w:t>
      </w:r>
      <w:r w:rsidR="00C65F88" w:rsidRPr="00035635">
        <w:t>did not, in fact, come to fruition</w:t>
      </w:r>
      <w:r w:rsidR="002969A6" w:rsidRPr="00035635">
        <w:t xml:space="preserve">. The outcome of this case suggests that </w:t>
      </w:r>
      <w:r w:rsidR="006D5C9D" w:rsidRPr="00035635">
        <w:t xml:space="preserve">context and environment may play a </w:t>
      </w:r>
      <w:r w:rsidR="00CC48B8" w:rsidRPr="00035635">
        <w:t xml:space="preserve">significant role in determining the outcome </w:t>
      </w:r>
      <w:r w:rsidR="00E17638" w:rsidRPr="00035635">
        <w:t>of a hate speech case.</w:t>
      </w:r>
    </w:p>
    <w:p w14:paraId="4669D19F" w14:textId="77777777" w:rsidR="000459AB" w:rsidRPr="00035635" w:rsidRDefault="000459AB" w:rsidP="00035635">
      <w:pPr>
        <w:jc w:val="both"/>
      </w:pPr>
    </w:p>
    <w:p w14:paraId="649B8AF0" w14:textId="77777777" w:rsidR="000459AB" w:rsidRPr="00035635" w:rsidRDefault="000459AB" w:rsidP="00035635">
      <w:pPr>
        <w:pStyle w:val="ListParagraph"/>
        <w:numPr>
          <w:ilvl w:val="0"/>
          <w:numId w:val="9"/>
        </w:numPr>
        <w:jc w:val="both"/>
        <w:rPr>
          <w:rFonts w:ascii="Times New Roman" w:hAnsi="Times New Roman" w:cs="Times New Roman"/>
          <w:b/>
          <w:u w:val="single"/>
        </w:rPr>
      </w:pPr>
      <w:r w:rsidRPr="00035635">
        <w:rPr>
          <w:rFonts w:ascii="Times New Roman" w:hAnsi="Times New Roman" w:cs="Times New Roman"/>
          <w:b/>
          <w:u w:val="single"/>
        </w:rPr>
        <w:t>What can I do if I find myself the victim of hate speech?</w:t>
      </w:r>
    </w:p>
    <w:p w14:paraId="3E2E12A6" w14:textId="77777777" w:rsidR="000459AB" w:rsidRPr="00035635" w:rsidRDefault="000459AB" w:rsidP="00035635">
      <w:pPr>
        <w:jc w:val="both"/>
      </w:pPr>
    </w:p>
    <w:p w14:paraId="088E2EA5" w14:textId="77777777" w:rsidR="00B11DD1" w:rsidRPr="00035635" w:rsidRDefault="00554F94" w:rsidP="00035635">
      <w:pPr>
        <w:jc w:val="both"/>
        <w:rPr>
          <w:rFonts w:eastAsia="Times New Roman"/>
        </w:rPr>
      </w:pPr>
      <w:r w:rsidRPr="00035635">
        <w:t xml:space="preserve">As described above, the most effective ways to address </w:t>
      </w:r>
      <w:r w:rsidR="00D83415" w:rsidRPr="00035635">
        <w:t xml:space="preserve">any grievances related to hate speech is </w:t>
      </w:r>
      <w:r w:rsidR="003C1503" w:rsidRPr="00035635">
        <w:t>to take a case before the South African Human Rights Commissi</w:t>
      </w:r>
      <w:r w:rsidR="00F05159" w:rsidRPr="00035635">
        <w:t xml:space="preserve">on or the local Equality Court. </w:t>
      </w:r>
      <w:r w:rsidR="00B11DD1" w:rsidRPr="00035635">
        <w:rPr>
          <w:rFonts w:eastAsia="Times New Roman"/>
          <w:color w:val="000000"/>
          <w:shd w:val="clear" w:color="auto" w:fill="FFFFFF"/>
        </w:rPr>
        <w:t>The Equality Act (which created the Equality Court system) stipulates that all High Courts are automatically designated as Equality Courts, but more importantly affords the bulk of adjudicative powers relating to equality matters to the Magistrate’s Courts.</w:t>
      </w:r>
      <w:r w:rsidR="00222CCA" w:rsidRPr="00035635">
        <w:rPr>
          <w:rFonts w:eastAsia="Times New Roman"/>
          <w:color w:val="000000"/>
          <w:shd w:val="clear" w:color="auto" w:fill="FFFFFF"/>
        </w:rPr>
        <w:t xml:space="preserve"> </w:t>
      </w:r>
    </w:p>
    <w:p w14:paraId="51A0163B" w14:textId="77777777" w:rsidR="000459AB" w:rsidRPr="00035635" w:rsidRDefault="000459AB" w:rsidP="00035635">
      <w:pPr>
        <w:jc w:val="both"/>
      </w:pPr>
    </w:p>
    <w:sectPr w:rsidR="000459AB" w:rsidRPr="00035635">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4533B" w14:textId="77777777" w:rsidR="00F07A8B" w:rsidRDefault="00F07A8B" w:rsidP="00EF7AE0">
      <w:r>
        <w:separator/>
      </w:r>
    </w:p>
  </w:endnote>
  <w:endnote w:type="continuationSeparator" w:id="0">
    <w:p w14:paraId="27B66DD8" w14:textId="77777777" w:rsidR="00F07A8B" w:rsidRDefault="00F07A8B" w:rsidP="00EF7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1392559"/>
      <w:docPartObj>
        <w:docPartGallery w:val="Page Numbers (Bottom of Page)"/>
        <w:docPartUnique/>
      </w:docPartObj>
    </w:sdtPr>
    <w:sdtEndPr>
      <w:rPr>
        <w:noProof/>
      </w:rPr>
    </w:sdtEndPr>
    <w:sdtContent>
      <w:p w14:paraId="79CE4A7D" w14:textId="77777777" w:rsidR="00035635" w:rsidRDefault="00035635">
        <w:pPr>
          <w:pStyle w:val="Footer"/>
          <w:jc w:val="right"/>
        </w:pPr>
        <w:r>
          <w:fldChar w:fldCharType="begin"/>
        </w:r>
        <w:r>
          <w:instrText xml:space="preserve"> PAGE   \* MERGEFORMAT </w:instrText>
        </w:r>
        <w:r>
          <w:fldChar w:fldCharType="separate"/>
        </w:r>
        <w:r w:rsidR="00927B03">
          <w:rPr>
            <w:noProof/>
          </w:rPr>
          <w:t>6</w:t>
        </w:r>
        <w:r>
          <w:rPr>
            <w:noProof/>
          </w:rPr>
          <w:fldChar w:fldCharType="end"/>
        </w:r>
      </w:p>
    </w:sdtContent>
  </w:sdt>
  <w:p w14:paraId="7A0C9D16" w14:textId="77777777" w:rsidR="00035635" w:rsidRDefault="0003563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469CB0" w14:textId="77777777" w:rsidR="00F07A8B" w:rsidRDefault="00F07A8B" w:rsidP="00EF7AE0">
      <w:r>
        <w:separator/>
      </w:r>
    </w:p>
  </w:footnote>
  <w:footnote w:type="continuationSeparator" w:id="0">
    <w:p w14:paraId="342E07F6" w14:textId="77777777" w:rsidR="00F07A8B" w:rsidRDefault="00F07A8B" w:rsidP="00EF7AE0">
      <w:r>
        <w:continuationSeparator/>
      </w:r>
    </w:p>
  </w:footnote>
  <w:footnote w:id="1">
    <w:p w14:paraId="40E2A61E" w14:textId="77777777" w:rsidR="009F0AFD" w:rsidRDefault="00EF7AE0">
      <w:pPr>
        <w:pStyle w:val="FootnoteText"/>
        <w:rPr>
          <w:rFonts w:ascii="Times New Roman" w:hAnsi="Times New Roman" w:cs="Times New Roman"/>
          <w:sz w:val="22"/>
          <w:szCs w:val="22"/>
        </w:rPr>
      </w:pPr>
      <w:r w:rsidRPr="00393454">
        <w:rPr>
          <w:rStyle w:val="FootnoteReference"/>
          <w:rFonts w:ascii="Times New Roman" w:hAnsi="Times New Roman" w:cs="Times New Roman"/>
          <w:sz w:val="22"/>
          <w:szCs w:val="22"/>
        </w:rPr>
        <w:footnoteRef/>
      </w:r>
      <w:r w:rsidRPr="00393454">
        <w:rPr>
          <w:rFonts w:ascii="Times New Roman" w:hAnsi="Times New Roman" w:cs="Times New Roman"/>
          <w:sz w:val="22"/>
          <w:szCs w:val="22"/>
        </w:rPr>
        <w:t xml:space="preserve"> </w:t>
      </w:r>
      <w:r w:rsidR="009F0AFD">
        <w:rPr>
          <w:rFonts w:ascii="Times New Roman" w:hAnsi="Times New Roman" w:cs="Times New Roman"/>
          <w:sz w:val="22"/>
          <w:szCs w:val="22"/>
        </w:rPr>
        <w:t xml:space="preserve">Universal Declaration of Human Rights, accessible at </w:t>
      </w:r>
      <w:r w:rsidR="009F0AFD" w:rsidRPr="009F0AFD">
        <w:rPr>
          <w:rFonts w:ascii="Times New Roman" w:hAnsi="Times New Roman" w:cs="Times New Roman"/>
          <w:sz w:val="22"/>
          <w:szCs w:val="22"/>
        </w:rPr>
        <w:t>http://www.ohchr.org/EN/UDHR/Pages/</w:t>
      </w:r>
    </w:p>
    <w:p w14:paraId="520BAD2E" w14:textId="77777777" w:rsidR="00EF7AE0" w:rsidRPr="00393454" w:rsidRDefault="009F0AFD">
      <w:pPr>
        <w:pStyle w:val="FootnoteText"/>
        <w:rPr>
          <w:rFonts w:ascii="Times New Roman" w:hAnsi="Times New Roman" w:cs="Times New Roman"/>
          <w:sz w:val="22"/>
          <w:szCs w:val="22"/>
        </w:rPr>
      </w:pPr>
      <w:r w:rsidRPr="009F0AFD">
        <w:rPr>
          <w:rFonts w:ascii="Times New Roman" w:hAnsi="Times New Roman" w:cs="Times New Roman"/>
          <w:sz w:val="22"/>
          <w:szCs w:val="22"/>
        </w:rPr>
        <w:t>Language.aspx?LangID=eng</w:t>
      </w:r>
      <w:r w:rsidR="00EF7AE0" w:rsidRPr="00393454">
        <w:rPr>
          <w:rFonts w:ascii="Times New Roman" w:hAnsi="Times New Roman" w:cs="Times New Roman"/>
          <w:sz w:val="22"/>
          <w:szCs w:val="22"/>
        </w:rPr>
        <w:t xml:space="preserve">; </w:t>
      </w:r>
      <w:r w:rsidR="00393454">
        <w:rPr>
          <w:rFonts w:ascii="Times New Roman" w:hAnsi="Times New Roman" w:cs="Times New Roman"/>
          <w:sz w:val="22"/>
          <w:szCs w:val="22"/>
        </w:rPr>
        <w:t xml:space="preserve">International Covenant on Civil and </w:t>
      </w:r>
      <w:r w:rsidR="00A95E50">
        <w:rPr>
          <w:rFonts w:ascii="Times New Roman" w:hAnsi="Times New Roman" w:cs="Times New Roman"/>
          <w:sz w:val="22"/>
          <w:szCs w:val="22"/>
        </w:rPr>
        <w:t xml:space="preserve">Political Rights, accessible at </w:t>
      </w:r>
      <w:r w:rsidR="00A95E50" w:rsidRPr="00A95E50">
        <w:rPr>
          <w:rFonts w:ascii="Times New Roman" w:hAnsi="Times New Roman" w:cs="Times New Roman"/>
          <w:sz w:val="22"/>
          <w:szCs w:val="22"/>
        </w:rPr>
        <w:t>http://www.ohchr.org/EN/ProfessionalInterest/Pages/CCPR.aspx</w:t>
      </w:r>
    </w:p>
  </w:footnote>
  <w:footnote w:id="2">
    <w:p w14:paraId="24FFA736" w14:textId="77777777" w:rsidR="001A2014" w:rsidRPr="007371E8" w:rsidRDefault="001A2014">
      <w:pPr>
        <w:pStyle w:val="FootnoteText"/>
        <w:rPr>
          <w:rFonts w:ascii="Times New Roman" w:hAnsi="Times New Roman" w:cs="Times New Roman"/>
          <w:sz w:val="22"/>
          <w:szCs w:val="22"/>
        </w:rPr>
      </w:pPr>
      <w:r w:rsidRPr="007371E8">
        <w:rPr>
          <w:rStyle w:val="FootnoteReference"/>
          <w:rFonts w:ascii="Times New Roman" w:hAnsi="Times New Roman" w:cs="Times New Roman"/>
          <w:sz w:val="22"/>
          <w:szCs w:val="22"/>
        </w:rPr>
        <w:footnoteRef/>
      </w:r>
      <w:r w:rsidR="00486465" w:rsidRPr="007371E8">
        <w:rPr>
          <w:rFonts w:ascii="Times New Roman" w:hAnsi="Times New Roman" w:cs="Times New Roman"/>
          <w:sz w:val="22"/>
          <w:szCs w:val="22"/>
        </w:rPr>
        <w:t xml:space="preserve"> The FXI holds this position despite the</w:t>
      </w:r>
      <w:r w:rsidRPr="007371E8">
        <w:rPr>
          <w:rFonts w:ascii="Times New Roman" w:hAnsi="Times New Roman" w:cs="Times New Roman"/>
          <w:sz w:val="22"/>
          <w:szCs w:val="22"/>
        </w:rPr>
        <w:t xml:space="preserve"> </w:t>
      </w:r>
      <w:r w:rsidR="00486465" w:rsidRPr="007371E8">
        <w:rPr>
          <w:rFonts w:ascii="Times New Roman" w:hAnsi="Times New Roman" w:cs="Times New Roman"/>
          <w:sz w:val="22"/>
          <w:szCs w:val="22"/>
        </w:rPr>
        <w:t xml:space="preserve">Prevention of Unfair Discrimination and the Promotion of Equality Act 4 of 2000 and </w:t>
      </w:r>
      <w:r w:rsidR="00486465" w:rsidRPr="007371E8">
        <w:rPr>
          <w:rFonts w:ascii="Times New Roman" w:hAnsi="Times New Roman" w:cs="Times New Roman"/>
          <w:i/>
          <w:sz w:val="22"/>
          <w:szCs w:val="22"/>
        </w:rPr>
        <w:t>Afri-Forum and Another v Malema and Others</w:t>
      </w:r>
      <w:r w:rsidR="00486465" w:rsidRPr="007371E8">
        <w:rPr>
          <w:rFonts w:ascii="Times New Roman" w:hAnsi="Times New Roman" w:cs="Times New Roman"/>
          <w:sz w:val="22"/>
          <w:szCs w:val="22"/>
        </w:rPr>
        <w:t xml:space="preserve"> (20968/2010) [2011] ZAEQC 2; 2011 (6) SA 240</w:t>
      </w:r>
      <w:r w:rsidR="007371E8" w:rsidRPr="007371E8">
        <w:rPr>
          <w:rFonts w:ascii="Times New Roman" w:hAnsi="Times New Roman" w:cs="Times New Roman"/>
          <w:sz w:val="22"/>
          <w:szCs w:val="22"/>
        </w:rPr>
        <w:t>.</w:t>
      </w:r>
    </w:p>
  </w:footnote>
  <w:footnote w:id="3">
    <w:p w14:paraId="7EBE92DD" w14:textId="77777777" w:rsidR="00830F1E" w:rsidRPr="00DC50B3" w:rsidRDefault="00830F1E">
      <w:pPr>
        <w:pStyle w:val="FootnoteText"/>
        <w:rPr>
          <w:rFonts w:ascii="Times New Roman" w:hAnsi="Times New Roman" w:cs="Times New Roman"/>
          <w:sz w:val="22"/>
          <w:szCs w:val="22"/>
        </w:rPr>
      </w:pPr>
      <w:r w:rsidRPr="007371E8">
        <w:rPr>
          <w:rStyle w:val="FootnoteReference"/>
          <w:rFonts w:ascii="Times New Roman" w:hAnsi="Times New Roman" w:cs="Times New Roman"/>
          <w:sz w:val="22"/>
          <w:szCs w:val="22"/>
        </w:rPr>
        <w:footnoteRef/>
      </w:r>
      <w:r w:rsidR="009B50AE" w:rsidRPr="007371E8">
        <w:rPr>
          <w:rFonts w:ascii="Times New Roman" w:hAnsi="Times New Roman" w:cs="Times New Roman"/>
          <w:sz w:val="22"/>
          <w:szCs w:val="22"/>
        </w:rPr>
        <w:t xml:space="preserve"> </w:t>
      </w:r>
      <w:r w:rsidR="009B50AE" w:rsidRPr="007371E8">
        <w:rPr>
          <w:rFonts w:ascii="Times New Roman" w:hAnsi="Times New Roman" w:cs="Times New Roman"/>
          <w:i/>
          <w:sz w:val="22"/>
          <w:szCs w:val="22"/>
        </w:rPr>
        <w:t>See, e.g.</w:t>
      </w:r>
      <w:r w:rsidR="009B50AE" w:rsidRPr="007371E8">
        <w:rPr>
          <w:rFonts w:ascii="Times New Roman" w:hAnsi="Times New Roman" w:cs="Times New Roman"/>
          <w:sz w:val="22"/>
          <w:szCs w:val="22"/>
        </w:rPr>
        <w:t>, Nat</w:t>
      </w:r>
      <w:r w:rsidR="001E1434" w:rsidRPr="007371E8">
        <w:rPr>
          <w:rFonts w:ascii="Times New Roman" w:hAnsi="Times New Roman" w:cs="Times New Roman"/>
          <w:sz w:val="22"/>
          <w:szCs w:val="22"/>
        </w:rPr>
        <w:t xml:space="preserve">ive </w:t>
      </w:r>
      <w:r w:rsidR="001E1434" w:rsidRPr="00DC50B3">
        <w:rPr>
          <w:rFonts w:ascii="Times New Roman" w:hAnsi="Times New Roman" w:cs="Times New Roman"/>
          <w:sz w:val="22"/>
          <w:szCs w:val="22"/>
        </w:rPr>
        <w:t xml:space="preserve">Administration Act of 1927 (making it a criminal offense to articulate “any words or [engage in] any other act or thing whatever with intent to promote any feeling of hostility between natives and </w:t>
      </w:r>
      <w:r w:rsidR="00B63BA5" w:rsidRPr="00DC50B3">
        <w:rPr>
          <w:rFonts w:ascii="Times New Roman" w:hAnsi="Times New Roman" w:cs="Times New Roman"/>
          <w:sz w:val="22"/>
          <w:szCs w:val="22"/>
        </w:rPr>
        <w:t>Europeans”)</w:t>
      </w:r>
      <w:r w:rsidR="00423A22" w:rsidRPr="00DC50B3">
        <w:rPr>
          <w:rFonts w:ascii="Times New Roman" w:hAnsi="Times New Roman" w:cs="Times New Roman"/>
          <w:sz w:val="22"/>
          <w:szCs w:val="22"/>
        </w:rPr>
        <w:t>; Intern</w:t>
      </w:r>
      <w:r w:rsidR="00E66CFF" w:rsidRPr="00DC50B3">
        <w:rPr>
          <w:rFonts w:ascii="Times New Roman" w:hAnsi="Times New Roman" w:cs="Times New Roman"/>
          <w:sz w:val="22"/>
          <w:szCs w:val="22"/>
        </w:rPr>
        <w:t>al Security Act of 1982 (prohibiting all speech criticizing the government’s race policies).</w:t>
      </w:r>
      <w:r w:rsidRPr="00DC50B3">
        <w:rPr>
          <w:rFonts w:ascii="Times New Roman" w:hAnsi="Times New Roman" w:cs="Times New Roman"/>
          <w:sz w:val="22"/>
          <w:szCs w:val="22"/>
        </w:rPr>
        <w:t xml:space="preserve"> </w:t>
      </w:r>
    </w:p>
  </w:footnote>
  <w:footnote w:id="4">
    <w:p w14:paraId="701516BA" w14:textId="77777777" w:rsidR="00C91542" w:rsidRPr="00DC50B3" w:rsidRDefault="00C91542" w:rsidP="00C91542">
      <w:pPr>
        <w:pStyle w:val="FootnoteText"/>
        <w:rPr>
          <w:rFonts w:ascii="Times New Roman" w:hAnsi="Times New Roman" w:cs="Times New Roman"/>
          <w:sz w:val="22"/>
          <w:szCs w:val="22"/>
        </w:rPr>
      </w:pPr>
      <w:r w:rsidRPr="00DC50B3">
        <w:rPr>
          <w:rStyle w:val="FootnoteReference"/>
          <w:rFonts w:ascii="Times New Roman" w:hAnsi="Times New Roman" w:cs="Times New Roman"/>
          <w:sz w:val="22"/>
          <w:szCs w:val="22"/>
        </w:rPr>
        <w:footnoteRef/>
      </w:r>
      <w:r w:rsidRPr="00DC50B3">
        <w:rPr>
          <w:rFonts w:ascii="Times New Roman" w:hAnsi="Times New Roman" w:cs="Times New Roman"/>
          <w:sz w:val="22"/>
          <w:szCs w:val="22"/>
        </w:rPr>
        <w:t xml:space="preserve"> </w:t>
      </w:r>
      <w:r w:rsidRPr="00DC50B3">
        <w:rPr>
          <w:rFonts w:ascii="Times New Roman" w:hAnsi="Times New Roman" w:cs="Times New Roman"/>
          <w:i/>
          <w:sz w:val="22"/>
          <w:szCs w:val="22"/>
        </w:rPr>
        <w:t>Islamic Unity Convention v Independent Broadcasting Authority and Others</w:t>
      </w:r>
      <w:r w:rsidRPr="00DC50B3">
        <w:rPr>
          <w:rFonts w:ascii="Times New Roman" w:hAnsi="Times New Roman" w:cs="Times New Roman"/>
          <w:sz w:val="22"/>
          <w:szCs w:val="22"/>
        </w:rPr>
        <w:t xml:space="preserve"> 2002 (4) SA 294 (CC)</w:t>
      </w:r>
    </w:p>
  </w:footnote>
  <w:footnote w:id="5">
    <w:p w14:paraId="7415D3E1" w14:textId="77777777" w:rsidR="00B349CF" w:rsidRPr="004B7FC7" w:rsidRDefault="00B349CF">
      <w:pPr>
        <w:pStyle w:val="FootnoteText"/>
        <w:rPr>
          <w:rFonts w:ascii="Times New Roman" w:hAnsi="Times New Roman" w:cs="Times New Roman"/>
          <w:sz w:val="22"/>
          <w:szCs w:val="22"/>
        </w:rPr>
      </w:pPr>
      <w:r w:rsidRPr="004B7FC7">
        <w:rPr>
          <w:rStyle w:val="FootnoteReference"/>
          <w:rFonts w:ascii="Times New Roman" w:hAnsi="Times New Roman" w:cs="Times New Roman"/>
          <w:sz w:val="22"/>
          <w:szCs w:val="22"/>
        </w:rPr>
        <w:footnoteRef/>
      </w:r>
      <w:r w:rsidRPr="004B7FC7">
        <w:rPr>
          <w:rFonts w:ascii="Times New Roman" w:hAnsi="Times New Roman" w:cs="Times New Roman"/>
          <w:sz w:val="22"/>
          <w:szCs w:val="22"/>
        </w:rPr>
        <w:t xml:space="preserve"> </w:t>
      </w:r>
      <w:r w:rsidR="00DC4315" w:rsidRPr="004B7FC7">
        <w:rPr>
          <w:rFonts w:ascii="Times New Roman" w:hAnsi="Times New Roman" w:cs="Times New Roman"/>
          <w:i/>
          <w:sz w:val="22"/>
          <w:szCs w:val="22"/>
        </w:rPr>
        <w:t>See, e.g.</w:t>
      </w:r>
      <w:r w:rsidR="00DC4315" w:rsidRPr="004B7FC7">
        <w:rPr>
          <w:rFonts w:ascii="Times New Roman" w:hAnsi="Times New Roman" w:cs="Times New Roman"/>
          <w:sz w:val="22"/>
          <w:szCs w:val="22"/>
        </w:rPr>
        <w:t xml:space="preserve">, </w:t>
      </w:r>
      <w:r w:rsidR="004577DA" w:rsidRPr="004B7FC7">
        <w:rPr>
          <w:rFonts w:ascii="Times New Roman" w:hAnsi="Times New Roman" w:cs="Times New Roman"/>
          <w:sz w:val="22"/>
          <w:szCs w:val="22"/>
        </w:rPr>
        <w:t xml:space="preserve">Promotion of Equality Act and </w:t>
      </w:r>
      <w:r w:rsidRPr="004B7FC7">
        <w:rPr>
          <w:rFonts w:ascii="Times New Roman" w:hAnsi="Times New Roman" w:cs="Times New Roman"/>
          <w:sz w:val="22"/>
          <w:szCs w:val="22"/>
        </w:rPr>
        <w:t>Preventi</w:t>
      </w:r>
      <w:r w:rsidR="004577DA" w:rsidRPr="004B7FC7">
        <w:rPr>
          <w:rFonts w:ascii="Times New Roman" w:hAnsi="Times New Roman" w:cs="Times New Roman"/>
          <w:sz w:val="22"/>
          <w:szCs w:val="22"/>
        </w:rPr>
        <w:t xml:space="preserve">on of Unfair Discrimination Act </w:t>
      </w:r>
      <w:r w:rsidR="00DC4315" w:rsidRPr="004B7FC7">
        <w:rPr>
          <w:rFonts w:ascii="Times New Roman" w:hAnsi="Times New Roman" w:cs="Times New Roman"/>
          <w:sz w:val="22"/>
          <w:szCs w:val="22"/>
        </w:rPr>
        <w:t>4 of 2000;</w:t>
      </w:r>
      <w:r w:rsidRPr="004B7FC7">
        <w:rPr>
          <w:rFonts w:ascii="Times New Roman" w:hAnsi="Times New Roman" w:cs="Times New Roman"/>
          <w:sz w:val="22"/>
          <w:szCs w:val="22"/>
        </w:rPr>
        <w:t xml:space="preserve"> </w:t>
      </w:r>
      <w:r w:rsidRPr="004B7FC7">
        <w:rPr>
          <w:rFonts w:ascii="Times New Roman" w:hAnsi="Times New Roman" w:cs="Times New Roman"/>
          <w:i/>
          <w:sz w:val="22"/>
          <w:szCs w:val="22"/>
        </w:rPr>
        <w:t>Afri-Forum and Another v Malema and Others</w:t>
      </w:r>
      <w:r w:rsidRPr="004B7FC7">
        <w:rPr>
          <w:rFonts w:ascii="Times New Roman" w:hAnsi="Times New Roman" w:cs="Times New Roman"/>
          <w:sz w:val="22"/>
          <w:szCs w:val="22"/>
        </w:rPr>
        <w:t xml:space="preserve"> (20968/2010) [2011] ZAEQC 2; 2011 (6) SA 240</w:t>
      </w:r>
    </w:p>
  </w:footnote>
  <w:footnote w:id="6">
    <w:p w14:paraId="046E57C0" w14:textId="77777777" w:rsidR="00254404" w:rsidRPr="004B7FC7" w:rsidRDefault="00254404" w:rsidP="0077540F">
      <w:pPr>
        <w:rPr>
          <w:sz w:val="22"/>
          <w:szCs w:val="22"/>
        </w:rPr>
      </w:pPr>
      <w:r w:rsidRPr="004B7FC7">
        <w:rPr>
          <w:rStyle w:val="FootnoteReference"/>
          <w:sz w:val="22"/>
          <w:szCs w:val="22"/>
        </w:rPr>
        <w:footnoteRef/>
      </w:r>
      <w:r w:rsidRPr="004B7FC7">
        <w:rPr>
          <w:sz w:val="22"/>
          <w:szCs w:val="22"/>
        </w:rPr>
        <w:t xml:space="preserve"> </w:t>
      </w:r>
      <w:r w:rsidR="00DC4315" w:rsidRPr="004B7FC7">
        <w:rPr>
          <w:sz w:val="22"/>
          <w:szCs w:val="22"/>
        </w:rPr>
        <w:t>Prevention and Combating of Hate Crimes and Hate Speech Bill of 2016</w:t>
      </w:r>
    </w:p>
  </w:footnote>
  <w:footnote w:id="7">
    <w:p w14:paraId="182921B7" w14:textId="77777777" w:rsidR="0077540F" w:rsidRPr="004B7FC7" w:rsidRDefault="0077540F">
      <w:pPr>
        <w:pStyle w:val="FootnoteText"/>
        <w:rPr>
          <w:rFonts w:ascii="Times New Roman" w:hAnsi="Times New Roman" w:cs="Times New Roman"/>
          <w:sz w:val="22"/>
          <w:szCs w:val="22"/>
        </w:rPr>
      </w:pPr>
      <w:r w:rsidRPr="004B7FC7">
        <w:rPr>
          <w:rStyle w:val="FootnoteReference"/>
          <w:rFonts w:ascii="Times New Roman" w:hAnsi="Times New Roman" w:cs="Times New Roman"/>
          <w:sz w:val="22"/>
          <w:szCs w:val="22"/>
        </w:rPr>
        <w:footnoteRef/>
      </w:r>
      <w:r w:rsidRPr="004B7FC7">
        <w:rPr>
          <w:rFonts w:ascii="Times New Roman" w:hAnsi="Times New Roman" w:cs="Times New Roman"/>
          <w:sz w:val="22"/>
          <w:szCs w:val="22"/>
        </w:rPr>
        <w:t xml:space="preserve"> </w:t>
      </w:r>
      <w:r w:rsidRPr="004B7FC7">
        <w:rPr>
          <w:rFonts w:ascii="Times New Roman" w:hAnsi="Times New Roman" w:cs="Times New Roman"/>
          <w:i/>
          <w:sz w:val="22"/>
          <w:szCs w:val="22"/>
        </w:rPr>
        <w:t>Afri-Forum and Another v Malema and Others</w:t>
      </w:r>
      <w:r w:rsidRPr="004B7FC7">
        <w:rPr>
          <w:rFonts w:ascii="Times New Roman" w:hAnsi="Times New Roman" w:cs="Times New Roman"/>
          <w:sz w:val="22"/>
          <w:szCs w:val="22"/>
        </w:rPr>
        <w:t xml:space="preserve"> (20968/2010) [2011] ZAEQC 2; 2011 (6) SA 240</w:t>
      </w:r>
    </w:p>
  </w:footnote>
  <w:footnote w:id="8">
    <w:p w14:paraId="7CFF2F76" w14:textId="77777777" w:rsidR="003669B8" w:rsidRPr="000143EC" w:rsidRDefault="003669B8">
      <w:pPr>
        <w:pStyle w:val="FootnoteText"/>
        <w:rPr>
          <w:sz w:val="22"/>
          <w:szCs w:val="22"/>
        </w:rPr>
      </w:pPr>
      <w:r w:rsidRPr="004B7FC7">
        <w:rPr>
          <w:rStyle w:val="FootnoteReference"/>
          <w:rFonts w:ascii="Times New Roman" w:hAnsi="Times New Roman" w:cs="Times New Roman"/>
          <w:sz w:val="22"/>
          <w:szCs w:val="22"/>
        </w:rPr>
        <w:footnoteRef/>
      </w:r>
      <w:r w:rsidR="003E15C4" w:rsidRPr="004B7FC7">
        <w:rPr>
          <w:rFonts w:ascii="Times New Roman" w:hAnsi="Times New Roman" w:cs="Times New Roman"/>
          <w:sz w:val="22"/>
          <w:szCs w:val="22"/>
        </w:rPr>
        <w:t xml:space="preserve"> </w:t>
      </w:r>
      <w:r w:rsidR="003E15C4" w:rsidRPr="004B7FC7">
        <w:rPr>
          <w:rFonts w:ascii="Times New Roman" w:hAnsi="Times New Roman" w:cs="Times New Roman"/>
          <w:i/>
          <w:sz w:val="22"/>
          <w:szCs w:val="22"/>
        </w:rPr>
        <w:t>See, e.g.</w:t>
      </w:r>
      <w:r w:rsidR="003E15C4" w:rsidRPr="004B7FC7">
        <w:rPr>
          <w:rFonts w:ascii="Times New Roman" w:hAnsi="Times New Roman" w:cs="Times New Roman"/>
          <w:sz w:val="22"/>
          <w:szCs w:val="22"/>
        </w:rPr>
        <w:t xml:space="preserve">, </w:t>
      </w:r>
      <w:r w:rsidR="009D0C74">
        <w:rPr>
          <w:rFonts w:ascii="Times New Roman" w:hAnsi="Times New Roman" w:cs="Times New Roman"/>
          <w:sz w:val="22"/>
          <w:szCs w:val="22"/>
        </w:rPr>
        <w:t xml:space="preserve">International Convention on the Elimination of All Forms of Racial Discrimination, </w:t>
      </w:r>
      <w:r w:rsidR="009D0C74" w:rsidRPr="000143EC">
        <w:rPr>
          <w:rFonts w:ascii="Times New Roman" w:hAnsi="Times New Roman" w:cs="Times New Roman"/>
          <w:sz w:val="22"/>
          <w:szCs w:val="22"/>
        </w:rPr>
        <w:t xml:space="preserve">accessible at </w:t>
      </w:r>
      <w:r w:rsidR="004B7FC7" w:rsidRPr="000143EC">
        <w:rPr>
          <w:rFonts w:ascii="Times New Roman" w:hAnsi="Times New Roman" w:cs="Times New Roman"/>
          <w:sz w:val="22"/>
          <w:szCs w:val="22"/>
        </w:rPr>
        <w:t>http://www.ohchr.org/EN/ProfessionalInterest/Pages/CERD.aspx.</w:t>
      </w:r>
    </w:p>
  </w:footnote>
  <w:footnote w:id="9">
    <w:p w14:paraId="64CCB4BB" w14:textId="77777777" w:rsidR="002F2B5A" w:rsidRPr="000143EC" w:rsidRDefault="002F2B5A">
      <w:pPr>
        <w:pStyle w:val="FootnoteText"/>
        <w:rPr>
          <w:rFonts w:ascii="Times New Roman" w:hAnsi="Times New Roman" w:cs="Times New Roman"/>
          <w:sz w:val="22"/>
          <w:szCs w:val="22"/>
        </w:rPr>
      </w:pPr>
      <w:r w:rsidRPr="000143EC">
        <w:rPr>
          <w:rStyle w:val="FootnoteReference"/>
          <w:rFonts w:ascii="Times New Roman" w:hAnsi="Times New Roman" w:cs="Times New Roman"/>
          <w:sz w:val="22"/>
          <w:szCs w:val="22"/>
        </w:rPr>
        <w:footnoteRef/>
      </w:r>
      <w:r w:rsidRPr="000143EC">
        <w:rPr>
          <w:rFonts w:ascii="Times New Roman" w:hAnsi="Times New Roman" w:cs="Times New Roman"/>
          <w:sz w:val="22"/>
          <w:szCs w:val="22"/>
        </w:rPr>
        <w:t xml:space="preserve"> </w:t>
      </w:r>
      <w:r w:rsidRPr="000143EC">
        <w:rPr>
          <w:rFonts w:ascii="Times New Roman" w:hAnsi="Times New Roman" w:cs="Times New Roman"/>
          <w:i/>
          <w:sz w:val="22"/>
          <w:szCs w:val="22"/>
        </w:rPr>
        <w:t>Islamic Unity Convention v Independent Broadcasting Authority and Others</w:t>
      </w:r>
      <w:r w:rsidR="0020546D" w:rsidRPr="000143EC">
        <w:rPr>
          <w:rFonts w:ascii="Times New Roman" w:hAnsi="Times New Roman" w:cs="Times New Roman"/>
          <w:sz w:val="22"/>
          <w:szCs w:val="22"/>
        </w:rPr>
        <w:t xml:space="preserve"> 2002 (4) SA 294 (CC)</w:t>
      </w:r>
    </w:p>
  </w:footnote>
  <w:footnote w:id="10">
    <w:p w14:paraId="1C3E554F" w14:textId="77777777" w:rsidR="009D0C74" w:rsidRPr="000143EC" w:rsidRDefault="009D0C74">
      <w:pPr>
        <w:pStyle w:val="FootnoteText"/>
        <w:rPr>
          <w:rFonts w:ascii="Times New Roman" w:hAnsi="Times New Roman" w:cs="Times New Roman"/>
          <w:sz w:val="22"/>
          <w:szCs w:val="22"/>
        </w:rPr>
      </w:pPr>
      <w:r w:rsidRPr="000143EC">
        <w:rPr>
          <w:rStyle w:val="FootnoteReference"/>
          <w:rFonts w:ascii="Times New Roman" w:hAnsi="Times New Roman" w:cs="Times New Roman"/>
          <w:sz w:val="22"/>
          <w:szCs w:val="22"/>
        </w:rPr>
        <w:footnoteRef/>
      </w:r>
      <w:r w:rsidRPr="000143EC">
        <w:rPr>
          <w:rFonts w:ascii="Times New Roman" w:hAnsi="Times New Roman" w:cs="Times New Roman"/>
          <w:sz w:val="22"/>
          <w:szCs w:val="22"/>
        </w:rPr>
        <w:t xml:space="preserve"> </w:t>
      </w:r>
      <w:r w:rsidR="00847D28" w:rsidRPr="000143EC">
        <w:rPr>
          <w:rFonts w:ascii="Times New Roman" w:hAnsi="Times New Roman" w:cs="Times New Roman"/>
          <w:i/>
          <w:sz w:val="22"/>
          <w:szCs w:val="22"/>
        </w:rPr>
        <w:t>South African Human Rights Commission v Qwelane</w:t>
      </w:r>
      <w:r w:rsidR="00AC4485" w:rsidRPr="000143EC">
        <w:rPr>
          <w:rFonts w:ascii="Times New Roman" w:hAnsi="Times New Roman" w:cs="Times New Roman"/>
          <w:i/>
          <w:sz w:val="22"/>
          <w:szCs w:val="22"/>
        </w:rPr>
        <w:t xml:space="preserve"> </w:t>
      </w:r>
      <w:r w:rsidR="00AC4485" w:rsidRPr="000143EC">
        <w:rPr>
          <w:rFonts w:ascii="Times New Roman" w:hAnsi="Times New Roman" w:cs="Times New Roman"/>
          <w:sz w:val="22"/>
          <w:szCs w:val="22"/>
        </w:rPr>
        <w:t>44/2009 EQ JHB (EQ 13/2012)</w:t>
      </w:r>
    </w:p>
  </w:footnote>
  <w:footnote w:id="11">
    <w:p w14:paraId="1E5B7657" w14:textId="77777777" w:rsidR="006F0C71" w:rsidRPr="00944E2B" w:rsidRDefault="006F0C71">
      <w:pPr>
        <w:pStyle w:val="FootnoteText"/>
        <w:rPr>
          <w:rFonts w:ascii="Times New Roman" w:hAnsi="Times New Roman" w:cs="Times New Roman"/>
        </w:rPr>
      </w:pPr>
      <w:r w:rsidRPr="000143EC">
        <w:rPr>
          <w:rStyle w:val="FootnoteReference"/>
          <w:rFonts w:ascii="Times New Roman" w:hAnsi="Times New Roman" w:cs="Times New Roman"/>
          <w:sz w:val="22"/>
          <w:szCs w:val="22"/>
        </w:rPr>
        <w:footnoteRef/>
      </w:r>
      <w:r w:rsidRPr="000143EC">
        <w:rPr>
          <w:rFonts w:ascii="Times New Roman" w:hAnsi="Times New Roman" w:cs="Times New Roman"/>
          <w:sz w:val="22"/>
          <w:szCs w:val="22"/>
        </w:rPr>
        <w:t xml:space="preserve"> </w:t>
      </w:r>
      <w:r w:rsidR="00944E2B" w:rsidRPr="000143EC">
        <w:rPr>
          <w:rFonts w:ascii="Times New Roman" w:hAnsi="Times New Roman" w:cs="Times New Roman"/>
          <w:sz w:val="22"/>
          <w:szCs w:val="22"/>
        </w:rPr>
        <w:t xml:space="preserve">Heads of Argument on behalf of the First </w:t>
      </w:r>
      <w:r w:rsidR="00944E2B" w:rsidRPr="000143EC">
        <w:rPr>
          <w:rFonts w:ascii="Times New Roman" w:hAnsi="Times New Roman" w:cs="Times New Roman"/>
          <w:i/>
          <w:sz w:val="22"/>
          <w:szCs w:val="22"/>
        </w:rPr>
        <w:t>Amicus Curiae</w:t>
      </w:r>
      <w:r w:rsidR="00944E2B" w:rsidRPr="000143EC">
        <w:rPr>
          <w:rFonts w:ascii="Times New Roman" w:hAnsi="Times New Roman" w:cs="Times New Roman"/>
          <w:sz w:val="22"/>
          <w:szCs w:val="22"/>
        </w:rPr>
        <w:t xml:space="preserve"> (Case No. 36314/13</w:t>
      </w:r>
      <w:r w:rsidR="000143EC" w:rsidRPr="000143EC">
        <w:rPr>
          <w:rFonts w:ascii="Times New Roman" w:hAnsi="Times New Roman" w:cs="Times New Roman"/>
          <w:sz w:val="22"/>
          <w:szCs w:val="22"/>
        </w:rPr>
        <w:t>, 29 Sept. 2014</w:t>
      </w:r>
      <w:r w:rsidR="00944E2B" w:rsidRPr="000143EC">
        <w:rPr>
          <w:rFonts w:ascii="Times New Roman" w:hAnsi="Times New Roman" w:cs="Times New Roman"/>
          <w:sz w:val="22"/>
          <w:szCs w:val="22"/>
        </w:rPr>
        <w:t>)</w:t>
      </w:r>
    </w:p>
  </w:footnote>
  <w:footnote w:id="12">
    <w:p w14:paraId="35D7BBC0" w14:textId="77777777" w:rsidR="005E5194" w:rsidRPr="00AA7FFD" w:rsidRDefault="005E5194">
      <w:pPr>
        <w:pStyle w:val="FootnoteText"/>
        <w:rPr>
          <w:rFonts w:ascii="Times New Roman" w:hAnsi="Times New Roman" w:cs="Times New Roman"/>
          <w:sz w:val="22"/>
          <w:szCs w:val="22"/>
        </w:rPr>
      </w:pPr>
      <w:r w:rsidRPr="00AA7FFD">
        <w:rPr>
          <w:rStyle w:val="FootnoteReference"/>
          <w:rFonts w:ascii="Times New Roman" w:hAnsi="Times New Roman" w:cs="Times New Roman"/>
          <w:sz w:val="22"/>
          <w:szCs w:val="22"/>
        </w:rPr>
        <w:footnoteRef/>
      </w:r>
      <w:r w:rsidRPr="00AA7FFD">
        <w:rPr>
          <w:rFonts w:ascii="Times New Roman" w:hAnsi="Times New Roman" w:cs="Times New Roman"/>
          <w:sz w:val="22"/>
          <w:szCs w:val="22"/>
        </w:rPr>
        <w:t xml:space="preserve"> </w:t>
      </w:r>
      <w:r w:rsidR="0028312D">
        <w:rPr>
          <w:rFonts w:ascii="Times New Roman" w:hAnsi="Times New Roman" w:cs="Times New Roman"/>
          <w:sz w:val="22"/>
          <w:szCs w:val="22"/>
        </w:rPr>
        <w:t>Submission by the Freedom of Expression Institute: National Hearing on Racism and Social Media in South Africa</w:t>
      </w:r>
      <w:r w:rsidR="002E02C0">
        <w:rPr>
          <w:rFonts w:ascii="Times New Roman" w:hAnsi="Times New Roman" w:cs="Times New Roman"/>
          <w:sz w:val="22"/>
          <w:szCs w:val="22"/>
        </w:rPr>
        <w:t xml:space="preserve"> (</w:t>
      </w:r>
      <w:r w:rsidR="00D16065" w:rsidRPr="00D16065">
        <w:rPr>
          <w:rFonts w:ascii="Times New Roman" w:hAnsi="Times New Roman" w:cs="Times New Roman"/>
          <w:sz w:val="22"/>
          <w:szCs w:val="22"/>
        </w:rPr>
        <w:t>2016</w:t>
      </w:r>
      <w:r w:rsidR="000A653E">
        <w:rPr>
          <w:rFonts w:ascii="Times New Roman" w:hAnsi="Times New Roman" w:cs="Times New Roman"/>
          <w:sz w:val="22"/>
          <w:szCs w:val="22"/>
        </w:rPr>
        <w:t>) based on FXI Law Clinic analy</w:t>
      </w:r>
      <w:r w:rsidR="002E02C0">
        <w:rPr>
          <w:rFonts w:ascii="Times New Roman" w:hAnsi="Times New Roman" w:cs="Times New Roman"/>
          <w:sz w:val="22"/>
          <w:szCs w:val="22"/>
        </w:rPr>
        <w:t>sis on 10 reports of racism and racial discrimination</w:t>
      </w:r>
    </w:p>
  </w:footnote>
  <w:footnote w:id="13">
    <w:p w14:paraId="304A8DEA" w14:textId="77777777" w:rsidR="00AA7FFD" w:rsidRDefault="00AA7FFD">
      <w:pPr>
        <w:pStyle w:val="FootnoteText"/>
      </w:pPr>
      <w:r w:rsidRPr="00AA7FFD">
        <w:rPr>
          <w:rStyle w:val="FootnoteReference"/>
          <w:rFonts w:ascii="Times New Roman" w:hAnsi="Times New Roman" w:cs="Times New Roman"/>
          <w:sz w:val="22"/>
          <w:szCs w:val="22"/>
        </w:rPr>
        <w:footnoteRef/>
      </w:r>
      <w:r w:rsidRPr="00AA7FFD">
        <w:rPr>
          <w:rFonts w:ascii="Times New Roman" w:hAnsi="Times New Roman" w:cs="Times New Roman"/>
          <w:sz w:val="22"/>
          <w:szCs w:val="22"/>
        </w:rPr>
        <w:t xml:space="preserve"> Prevention and Combatting of Hate Crimes and Hate Speech Bill of 2016, </w:t>
      </w:r>
      <w:r w:rsidRPr="00AA7FFD">
        <w:rPr>
          <w:rFonts w:ascii="Times New Roman" w:hAnsi="Times New Roman" w:cs="Times New Roman"/>
          <w:i/>
          <w:sz w:val="22"/>
          <w:szCs w:val="22"/>
        </w:rPr>
        <w:t>s</w:t>
      </w:r>
      <w:r w:rsidRPr="00AA7FFD">
        <w:rPr>
          <w:rFonts w:ascii="Times New Roman" w:hAnsi="Times New Roman" w:cs="Times New Roman"/>
          <w:sz w:val="22"/>
          <w:szCs w:val="22"/>
        </w:rPr>
        <w:t>4(1)(b) (“any person who makes available an electronic communication which constitutes hate speech as contemplated in paragraph (a)” has committed an offence of hate speech)</w:t>
      </w:r>
    </w:p>
  </w:footnote>
  <w:footnote w:id="14">
    <w:p w14:paraId="373329B1" w14:textId="77777777" w:rsidR="007043C9" w:rsidRPr="007043C9" w:rsidRDefault="007043C9">
      <w:pPr>
        <w:pStyle w:val="FootnoteText"/>
        <w:rPr>
          <w:rFonts w:ascii="Times New Roman" w:hAnsi="Times New Roman" w:cs="Times New Roman"/>
          <w:sz w:val="22"/>
          <w:szCs w:val="22"/>
        </w:rPr>
      </w:pPr>
      <w:r w:rsidRPr="007043C9">
        <w:rPr>
          <w:rStyle w:val="FootnoteReference"/>
          <w:rFonts w:ascii="Times New Roman" w:hAnsi="Times New Roman" w:cs="Times New Roman"/>
          <w:sz w:val="22"/>
          <w:szCs w:val="22"/>
        </w:rPr>
        <w:footnoteRef/>
      </w:r>
      <w:r w:rsidRPr="007043C9">
        <w:rPr>
          <w:rFonts w:ascii="Times New Roman" w:hAnsi="Times New Roman" w:cs="Times New Roman"/>
          <w:sz w:val="22"/>
          <w:szCs w:val="22"/>
        </w:rPr>
        <w:t xml:space="preserve"> </w:t>
      </w:r>
      <w:r w:rsidR="00FF07E5">
        <w:rPr>
          <w:rFonts w:ascii="Times New Roman" w:hAnsi="Times New Roman" w:cs="Times New Roman"/>
          <w:sz w:val="22"/>
          <w:szCs w:val="22"/>
        </w:rPr>
        <w:t>Submission by the Freedom of Expression Institute: National Hearing on Racism and Social Media in South Africa (</w:t>
      </w:r>
      <w:r w:rsidR="00FF07E5" w:rsidRPr="00D16065">
        <w:rPr>
          <w:rFonts w:ascii="Times New Roman" w:hAnsi="Times New Roman" w:cs="Times New Roman"/>
          <w:sz w:val="22"/>
          <w:szCs w:val="22"/>
        </w:rPr>
        <w:t>2016</w:t>
      </w:r>
      <w:r w:rsidR="00FF07E5">
        <w:rPr>
          <w:rFonts w:ascii="Times New Roman" w:hAnsi="Times New Roman" w:cs="Times New Roman"/>
          <w:sz w:val="22"/>
          <w:szCs w:val="22"/>
        </w:rPr>
        <w:t>)</w:t>
      </w:r>
    </w:p>
  </w:footnote>
  <w:footnote w:id="15">
    <w:p w14:paraId="40D3436B" w14:textId="77777777" w:rsidR="00256EEC" w:rsidRPr="003B08A4" w:rsidRDefault="00256EEC">
      <w:pPr>
        <w:pStyle w:val="FootnoteText"/>
        <w:rPr>
          <w:rFonts w:ascii="Times New Roman" w:hAnsi="Times New Roman" w:cs="Times New Roman"/>
          <w:sz w:val="22"/>
          <w:szCs w:val="22"/>
        </w:rPr>
      </w:pPr>
      <w:r w:rsidRPr="003B08A4">
        <w:rPr>
          <w:rStyle w:val="FootnoteReference"/>
          <w:rFonts w:ascii="Times New Roman" w:hAnsi="Times New Roman" w:cs="Times New Roman"/>
          <w:sz w:val="22"/>
          <w:szCs w:val="22"/>
        </w:rPr>
        <w:footnoteRef/>
      </w:r>
      <w:r w:rsidRPr="003B08A4">
        <w:rPr>
          <w:rFonts w:ascii="Times New Roman" w:hAnsi="Times New Roman" w:cs="Times New Roman"/>
          <w:sz w:val="22"/>
          <w:szCs w:val="22"/>
        </w:rPr>
        <w:t xml:space="preserve"> </w:t>
      </w:r>
      <w:r w:rsidR="00236247" w:rsidRPr="003B08A4">
        <w:rPr>
          <w:rFonts w:ascii="Times New Roman" w:hAnsi="Times New Roman" w:cs="Times New Roman"/>
          <w:i/>
          <w:sz w:val="22"/>
          <w:szCs w:val="22"/>
        </w:rPr>
        <w:t>Sonke Gender Justice Network v Malema</w:t>
      </w:r>
      <w:r w:rsidR="00236247" w:rsidRPr="003B08A4">
        <w:rPr>
          <w:rFonts w:ascii="Times New Roman" w:hAnsi="Times New Roman" w:cs="Times New Roman"/>
          <w:sz w:val="22"/>
          <w:szCs w:val="22"/>
        </w:rPr>
        <w:t>, File No. 02/2009</w:t>
      </w:r>
    </w:p>
  </w:footnote>
  <w:footnote w:id="16">
    <w:p w14:paraId="03CE2ABA" w14:textId="77777777" w:rsidR="003B08A4" w:rsidRPr="003B08A4" w:rsidRDefault="003B08A4">
      <w:pPr>
        <w:pStyle w:val="FootnoteText"/>
        <w:rPr>
          <w:rFonts w:ascii="Times New Roman" w:hAnsi="Times New Roman" w:cs="Times New Roman"/>
          <w:sz w:val="22"/>
          <w:szCs w:val="22"/>
        </w:rPr>
      </w:pPr>
      <w:r w:rsidRPr="003B08A4">
        <w:rPr>
          <w:rStyle w:val="FootnoteReference"/>
          <w:rFonts w:ascii="Times New Roman" w:hAnsi="Times New Roman" w:cs="Times New Roman"/>
          <w:sz w:val="22"/>
          <w:szCs w:val="22"/>
        </w:rPr>
        <w:footnoteRef/>
      </w:r>
      <w:r w:rsidRPr="003B08A4">
        <w:rPr>
          <w:rFonts w:ascii="Times New Roman" w:hAnsi="Times New Roman" w:cs="Times New Roman"/>
          <w:sz w:val="22"/>
          <w:szCs w:val="22"/>
        </w:rPr>
        <w:t xml:space="preserve"> </w:t>
      </w:r>
      <w:r>
        <w:rPr>
          <w:rFonts w:ascii="Times New Roman" w:hAnsi="Times New Roman" w:cs="Times New Roman"/>
          <w:i/>
          <w:sz w:val="22"/>
          <w:szCs w:val="22"/>
        </w:rPr>
        <w:t>Human Rights Commission</w:t>
      </w:r>
      <w:r w:rsidR="00596484">
        <w:rPr>
          <w:rFonts w:ascii="Times New Roman" w:hAnsi="Times New Roman" w:cs="Times New Roman"/>
          <w:i/>
          <w:sz w:val="22"/>
          <w:szCs w:val="22"/>
        </w:rPr>
        <w:t xml:space="preserve"> of South Africa</w:t>
      </w:r>
      <w:r>
        <w:rPr>
          <w:rFonts w:ascii="Times New Roman" w:hAnsi="Times New Roman" w:cs="Times New Roman"/>
          <w:i/>
          <w:sz w:val="22"/>
          <w:szCs w:val="22"/>
        </w:rPr>
        <w:t xml:space="preserve"> v SABC</w:t>
      </w:r>
      <w:r>
        <w:rPr>
          <w:rFonts w:ascii="Times New Roman" w:hAnsi="Times New Roman" w:cs="Times New Roman"/>
          <w:sz w:val="22"/>
          <w:szCs w:val="22"/>
        </w:rPr>
        <w:t xml:space="preserve"> 2003(11) BCLR 92 (BCCSA)</w:t>
      </w:r>
    </w:p>
  </w:footnote>
  <w:footnote w:id="17">
    <w:p w14:paraId="1749E6A8" w14:textId="77777777" w:rsidR="00015061" w:rsidRPr="006F4DFB" w:rsidRDefault="00015061">
      <w:pPr>
        <w:pStyle w:val="FootnoteText"/>
        <w:rPr>
          <w:rFonts w:ascii="Times New Roman" w:hAnsi="Times New Roman" w:cs="Times New Roman"/>
          <w:sz w:val="22"/>
          <w:szCs w:val="22"/>
        </w:rPr>
      </w:pPr>
      <w:r w:rsidRPr="003B08A4">
        <w:rPr>
          <w:rStyle w:val="FootnoteReference"/>
          <w:rFonts w:ascii="Times New Roman" w:hAnsi="Times New Roman" w:cs="Times New Roman"/>
          <w:sz w:val="22"/>
          <w:szCs w:val="22"/>
        </w:rPr>
        <w:footnoteRef/>
      </w:r>
      <w:r w:rsidRPr="003B08A4">
        <w:rPr>
          <w:rFonts w:ascii="Times New Roman" w:hAnsi="Times New Roman" w:cs="Times New Roman"/>
          <w:sz w:val="22"/>
          <w:szCs w:val="22"/>
        </w:rPr>
        <w:t xml:space="preserve"> </w:t>
      </w:r>
      <w:r w:rsidR="006F4DFB" w:rsidRPr="003B08A4">
        <w:rPr>
          <w:rFonts w:ascii="Times New Roman" w:hAnsi="Times New Roman" w:cs="Times New Roman"/>
          <w:i/>
          <w:sz w:val="22"/>
          <w:szCs w:val="22"/>
        </w:rPr>
        <w:t xml:space="preserve">Jethalal v Ngema and Universal Music </w:t>
      </w:r>
      <w:r w:rsidR="006F4DFB" w:rsidRPr="003B08A4">
        <w:rPr>
          <w:rFonts w:ascii="Times New Roman" w:hAnsi="Times New Roman" w:cs="Times New Roman"/>
          <w:sz w:val="22"/>
          <w:szCs w:val="22"/>
        </w:rPr>
        <w:t>(Case No. 3524/2002, 28 June 2002)</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12955"/>
    <w:multiLevelType w:val="hybridMultilevel"/>
    <w:tmpl w:val="AA0E524E"/>
    <w:lvl w:ilvl="0" w:tplc="EA74E7DA">
      <w:start w:val="1"/>
      <w:numFmt w:val="lowerLetter"/>
      <w:lvlText w:val="%1."/>
      <w:lvlJc w:val="left"/>
      <w:pPr>
        <w:ind w:left="360" w:hanging="360"/>
      </w:pPr>
      <w:rPr>
        <w:rFonts w:hint="default"/>
        <w:u w:val="none"/>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nsid w:val="22491447"/>
    <w:multiLevelType w:val="hybridMultilevel"/>
    <w:tmpl w:val="0B922B28"/>
    <w:lvl w:ilvl="0" w:tplc="A34282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5597A9B"/>
    <w:multiLevelType w:val="hybridMultilevel"/>
    <w:tmpl w:val="CB703AF4"/>
    <w:lvl w:ilvl="0" w:tplc="F59AA49E">
      <w:start w:val="1"/>
      <w:numFmt w:val="decimal"/>
      <w:lvlText w:val="%1)"/>
      <w:lvlJc w:val="left"/>
      <w:pPr>
        <w:ind w:left="360" w:hanging="360"/>
      </w:pPr>
      <w:rPr>
        <w:rFonts w:hint="default"/>
        <w:sz w:val="24"/>
        <w:szCs w:val="24"/>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BA762C9"/>
    <w:multiLevelType w:val="hybridMultilevel"/>
    <w:tmpl w:val="BC48B7AA"/>
    <w:lvl w:ilvl="0" w:tplc="D8CA5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CC795F"/>
    <w:multiLevelType w:val="hybridMultilevel"/>
    <w:tmpl w:val="B034281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35E514E"/>
    <w:multiLevelType w:val="hybridMultilevel"/>
    <w:tmpl w:val="7A6029AE"/>
    <w:lvl w:ilvl="0" w:tplc="9314DA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A452579"/>
    <w:multiLevelType w:val="hybridMultilevel"/>
    <w:tmpl w:val="3A46EA56"/>
    <w:lvl w:ilvl="0" w:tplc="D8CA5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3150C1"/>
    <w:multiLevelType w:val="hybridMultilevel"/>
    <w:tmpl w:val="3A46EA56"/>
    <w:lvl w:ilvl="0" w:tplc="D8CA57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EEC79FD"/>
    <w:multiLevelType w:val="hybridMultilevel"/>
    <w:tmpl w:val="A77CC77E"/>
    <w:lvl w:ilvl="0" w:tplc="F49A5A9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8"/>
  </w:num>
  <w:num w:numId="2">
    <w:abstractNumId w:val="0"/>
  </w:num>
  <w:num w:numId="3">
    <w:abstractNumId w:val="5"/>
  </w:num>
  <w:num w:numId="4">
    <w:abstractNumId w:val="3"/>
  </w:num>
  <w:num w:numId="5">
    <w:abstractNumId w:val="1"/>
  </w:num>
  <w:num w:numId="6">
    <w:abstractNumId w:val="6"/>
  </w:num>
  <w:num w:numId="7">
    <w:abstractNumId w:val="7"/>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552"/>
    <w:rsid w:val="00001C0D"/>
    <w:rsid w:val="00011D9B"/>
    <w:rsid w:val="00014277"/>
    <w:rsid w:val="000143EC"/>
    <w:rsid w:val="00015061"/>
    <w:rsid w:val="0002411C"/>
    <w:rsid w:val="00025DF0"/>
    <w:rsid w:val="00027BE3"/>
    <w:rsid w:val="00035635"/>
    <w:rsid w:val="00042689"/>
    <w:rsid w:val="000459AB"/>
    <w:rsid w:val="00047FC0"/>
    <w:rsid w:val="00051A49"/>
    <w:rsid w:val="000631F4"/>
    <w:rsid w:val="000769F9"/>
    <w:rsid w:val="000802A1"/>
    <w:rsid w:val="00085771"/>
    <w:rsid w:val="00091C38"/>
    <w:rsid w:val="00093A10"/>
    <w:rsid w:val="000A04A0"/>
    <w:rsid w:val="000A0F63"/>
    <w:rsid w:val="000A249C"/>
    <w:rsid w:val="000A3492"/>
    <w:rsid w:val="000A653E"/>
    <w:rsid w:val="000A6647"/>
    <w:rsid w:val="000C32EB"/>
    <w:rsid w:val="000C4C62"/>
    <w:rsid w:val="000D461C"/>
    <w:rsid w:val="000D631B"/>
    <w:rsid w:val="000F5341"/>
    <w:rsid w:val="000F5487"/>
    <w:rsid w:val="00101424"/>
    <w:rsid w:val="00113989"/>
    <w:rsid w:val="00114DC1"/>
    <w:rsid w:val="0012025F"/>
    <w:rsid w:val="00122C88"/>
    <w:rsid w:val="00125721"/>
    <w:rsid w:val="001302CC"/>
    <w:rsid w:val="00132ED9"/>
    <w:rsid w:val="001359F1"/>
    <w:rsid w:val="00142E48"/>
    <w:rsid w:val="0015594C"/>
    <w:rsid w:val="00156821"/>
    <w:rsid w:val="00156D82"/>
    <w:rsid w:val="0015785B"/>
    <w:rsid w:val="001616D6"/>
    <w:rsid w:val="00165295"/>
    <w:rsid w:val="00165442"/>
    <w:rsid w:val="00170A28"/>
    <w:rsid w:val="00172907"/>
    <w:rsid w:val="00172DC3"/>
    <w:rsid w:val="00174778"/>
    <w:rsid w:val="00182C8E"/>
    <w:rsid w:val="00183274"/>
    <w:rsid w:val="001A0B38"/>
    <w:rsid w:val="001A2014"/>
    <w:rsid w:val="001A3960"/>
    <w:rsid w:val="001A4721"/>
    <w:rsid w:val="001A73FD"/>
    <w:rsid w:val="001A748F"/>
    <w:rsid w:val="001B1636"/>
    <w:rsid w:val="001B6E31"/>
    <w:rsid w:val="001B7DFD"/>
    <w:rsid w:val="001C34A7"/>
    <w:rsid w:val="001D5AB9"/>
    <w:rsid w:val="001E0A26"/>
    <w:rsid w:val="001E0EA9"/>
    <w:rsid w:val="001E1434"/>
    <w:rsid w:val="001F10E6"/>
    <w:rsid w:val="001F32D4"/>
    <w:rsid w:val="001F52D2"/>
    <w:rsid w:val="00203735"/>
    <w:rsid w:val="0020546D"/>
    <w:rsid w:val="00205726"/>
    <w:rsid w:val="00215E99"/>
    <w:rsid w:val="00221963"/>
    <w:rsid w:val="00222CCA"/>
    <w:rsid w:val="00222D36"/>
    <w:rsid w:val="00231682"/>
    <w:rsid w:val="00236247"/>
    <w:rsid w:val="00241569"/>
    <w:rsid w:val="00254404"/>
    <w:rsid w:val="00256EEC"/>
    <w:rsid w:val="00260D5F"/>
    <w:rsid w:val="00263207"/>
    <w:rsid w:val="00265592"/>
    <w:rsid w:val="0027390B"/>
    <w:rsid w:val="00274A27"/>
    <w:rsid w:val="00275D8C"/>
    <w:rsid w:val="002822DE"/>
    <w:rsid w:val="00282A55"/>
    <w:rsid w:val="0028312D"/>
    <w:rsid w:val="0028408C"/>
    <w:rsid w:val="00285169"/>
    <w:rsid w:val="00294CF8"/>
    <w:rsid w:val="002969A6"/>
    <w:rsid w:val="002A01BA"/>
    <w:rsid w:val="002A0F70"/>
    <w:rsid w:val="002A2514"/>
    <w:rsid w:val="002B18D5"/>
    <w:rsid w:val="002B1A88"/>
    <w:rsid w:val="002B1EE2"/>
    <w:rsid w:val="002B337A"/>
    <w:rsid w:val="002B4828"/>
    <w:rsid w:val="002B6966"/>
    <w:rsid w:val="002C0E18"/>
    <w:rsid w:val="002D7B3C"/>
    <w:rsid w:val="002E02C0"/>
    <w:rsid w:val="002F2B5A"/>
    <w:rsid w:val="002F6AB1"/>
    <w:rsid w:val="0030286E"/>
    <w:rsid w:val="0030571D"/>
    <w:rsid w:val="003157E1"/>
    <w:rsid w:val="00322E8E"/>
    <w:rsid w:val="00335706"/>
    <w:rsid w:val="003447BC"/>
    <w:rsid w:val="00346A7F"/>
    <w:rsid w:val="00347301"/>
    <w:rsid w:val="00350B7F"/>
    <w:rsid w:val="00353251"/>
    <w:rsid w:val="0035669E"/>
    <w:rsid w:val="00363060"/>
    <w:rsid w:val="003647A5"/>
    <w:rsid w:val="00364AF5"/>
    <w:rsid w:val="003669B8"/>
    <w:rsid w:val="00373818"/>
    <w:rsid w:val="00374619"/>
    <w:rsid w:val="00374C9C"/>
    <w:rsid w:val="003845F8"/>
    <w:rsid w:val="00392C14"/>
    <w:rsid w:val="00393288"/>
    <w:rsid w:val="00393454"/>
    <w:rsid w:val="003A1816"/>
    <w:rsid w:val="003A570E"/>
    <w:rsid w:val="003A7AF2"/>
    <w:rsid w:val="003B08A4"/>
    <w:rsid w:val="003B13AE"/>
    <w:rsid w:val="003B2B58"/>
    <w:rsid w:val="003C0DC9"/>
    <w:rsid w:val="003C1503"/>
    <w:rsid w:val="003C1B3A"/>
    <w:rsid w:val="003D4C8A"/>
    <w:rsid w:val="003D54D6"/>
    <w:rsid w:val="003D6B52"/>
    <w:rsid w:val="003E15C4"/>
    <w:rsid w:val="003E1AC0"/>
    <w:rsid w:val="003E39EC"/>
    <w:rsid w:val="003F375B"/>
    <w:rsid w:val="0040397C"/>
    <w:rsid w:val="00423A22"/>
    <w:rsid w:val="00424827"/>
    <w:rsid w:val="00425FD0"/>
    <w:rsid w:val="00426970"/>
    <w:rsid w:val="00441A6F"/>
    <w:rsid w:val="00443151"/>
    <w:rsid w:val="00445502"/>
    <w:rsid w:val="00447F92"/>
    <w:rsid w:val="00450A5F"/>
    <w:rsid w:val="00453814"/>
    <w:rsid w:val="004577DA"/>
    <w:rsid w:val="004630B6"/>
    <w:rsid w:val="004646EA"/>
    <w:rsid w:val="00472F68"/>
    <w:rsid w:val="00473549"/>
    <w:rsid w:val="004805C9"/>
    <w:rsid w:val="00486465"/>
    <w:rsid w:val="00487E77"/>
    <w:rsid w:val="004A1178"/>
    <w:rsid w:val="004A3797"/>
    <w:rsid w:val="004B1676"/>
    <w:rsid w:val="004B4D6E"/>
    <w:rsid w:val="004B6102"/>
    <w:rsid w:val="004B7C54"/>
    <w:rsid w:val="004B7FC7"/>
    <w:rsid w:val="004C0648"/>
    <w:rsid w:val="004D5F1B"/>
    <w:rsid w:val="004E151C"/>
    <w:rsid w:val="004F2270"/>
    <w:rsid w:val="00507532"/>
    <w:rsid w:val="0052768D"/>
    <w:rsid w:val="00533C05"/>
    <w:rsid w:val="00547647"/>
    <w:rsid w:val="00553F43"/>
    <w:rsid w:val="00554F94"/>
    <w:rsid w:val="00577D47"/>
    <w:rsid w:val="005835A8"/>
    <w:rsid w:val="00587C46"/>
    <w:rsid w:val="005929D3"/>
    <w:rsid w:val="00596484"/>
    <w:rsid w:val="005A10DA"/>
    <w:rsid w:val="005A1C18"/>
    <w:rsid w:val="005A3B5B"/>
    <w:rsid w:val="005A7ECF"/>
    <w:rsid w:val="005C0533"/>
    <w:rsid w:val="005D2D29"/>
    <w:rsid w:val="005E5194"/>
    <w:rsid w:val="005F1DED"/>
    <w:rsid w:val="005F25A8"/>
    <w:rsid w:val="005F6F5E"/>
    <w:rsid w:val="0062765E"/>
    <w:rsid w:val="00632EEF"/>
    <w:rsid w:val="00634756"/>
    <w:rsid w:val="00637155"/>
    <w:rsid w:val="00637354"/>
    <w:rsid w:val="006378F9"/>
    <w:rsid w:val="00637B36"/>
    <w:rsid w:val="006425E1"/>
    <w:rsid w:val="00644ED0"/>
    <w:rsid w:val="00653FB4"/>
    <w:rsid w:val="00655FC9"/>
    <w:rsid w:val="00656210"/>
    <w:rsid w:val="00660354"/>
    <w:rsid w:val="00660BFD"/>
    <w:rsid w:val="00663A06"/>
    <w:rsid w:val="00670D78"/>
    <w:rsid w:val="006726F0"/>
    <w:rsid w:val="00676228"/>
    <w:rsid w:val="00683717"/>
    <w:rsid w:val="00694701"/>
    <w:rsid w:val="00694B25"/>
    <w:rsid w:val="006971EF"/>
    <w:rsid w:val="006A0865"/>
    <w:rsid w:val="006A2079"/>
    <w:rsid w:val="006A37B0"/>
    <w:rsid w:val="006B1645"/>
    <w:rsid w:val="006B21DD"/>
    <w:rsid w:val="006B27B1"/>
    <w:rsid w:val="006B3684"/>
    <w:rsid w:val="006B7BFB"/>
    <w:rsid w:val="006B7CDA"/>
    <w:rsid w:val="006C6D84"/>
    <w:rsid w:val="006D31AE"/>
    <w:rsid w:val="006D5C9D"/>
    <w:rsid w:val="006D66D2"/>
    <w:rsid w:val="006E3913"/>
    <w:rsid w:val="006E3C7F"/>
    <w:rsid w:val="006E5423"/>
    <w:rsid w:val="006E5A6D"/>
    <w:rsid w:val="006F0C71"/>
    <w:rsid w:val="006F0EE1"/>
    <w:rsid w:val="006F30E0"/>
    <w:rsid w:val="006F4153"/>
    <w:rsid w:val="006F4DFB"/>
    <w:rsid w:val="006F5848"/>
    <w:rsid w:val="006F725E"/>
    <w:rsid w:val="00703868"/>
    <w:rsid w:val="007043C9"/>
    <w:rsid w:val="007058AE"/>
    <w:rsid w:val="00712447"/>
    <w:rsid w:val="00721CC6"/>
    <w:rsid w:val="00731B35"/>
    <w:rsid w:val="007371E8"/>
    <w:rsid w:val="00741CC9"/>
    <w:rsid w:val="007422C6"/>
    <w:rsid w:val="00751B0B"/>
    <w:rsid w:val="0075421F"/>
    <w:rsid w:val="00756795"/>
    <w:rsid w:val="00760955"/>
    <w:rsid w:val="00761135"/>
    <w:rsid w:val="007643DB"/>
    <w:rsid w:val="007740B2"/>
    <w:rsid w:val="0077540F"/>
    <w:rsid w:val="00775C20"/>
    <w:rsid w:val="0079031A"/>
    <w:rsid w:val="00792277"/>
    <w:rsid w:val="00796356"/>
    <w:rsid w:val="007A1A9B"/>
    <w:rsid w:val="007A6557"/>
    <w:rsid w:val="007B056E"/>
    <w:rsid w:val="007B26D5"/>
    <w:rsid w:val="007B3051"/>
    <w:rsid w:val="007B6F68"/>
    <w:rsid w:val="007C7CAD"/>
    <w:rsid w:val="007D18D3"/>
    <w:rsid w:val="007D2796"/>
    <w:rsid w:val="007D721C"/>
    <w:rsid w:val="007F2552"/>
    <w:rsid w:val="007F3BF5"/>
    <w:rsid w:val="007F4E5E"/>
    <w:rsid w:val="00800CD0"/>
    <w:rsid w:val="00801C1B"/>
    <w:rsid w:val="00805BCC"/>
    <w:rsid w:val="0081221F"/>
    <w:rsid w:val="0081652C"/>
    <w:rsid w:val="008277BB"/>
    <w:rsid w:val="0082798E"/>
    <w:rsid w:val="0083063E"/>
    <w:rsid w:val="00830F1E"/>
    <w:rsid w:val="008353C3"/>
    <w:rsid w:val="008360A1"/>
    <w:rsid w:val="008365EA"/>
    <w:rsid w:val="0083678F"/>
    <w:rsid w:val="00842DAA"/>
    <w:rsid w:val="00844B70"/>
    <w:rsid w:val="00846D72"/>
    <w:rsid w:val="00847D28"/>
    <w:rsid w:val="008543C9"/>
    <w:rsid w:val="00854977"/>
    <w:rsid w:val="00870A3E"/>
    <w:rsid w:val="00872D75"/>
    <w:rsid w:val="00873207"/>
    <w:rsid w:val="00875002"/>
    <w:rsid w:val="008754F3"/>
    <w:rsid w:val="008A2C59"/>
    <w:rsid w:val="008A3382"/>
    <w:rsid w:val="008A412D"/>
    <w:rsid w:val="008D0094"/>
    <w:rsid w:val="008D1582"/>
    <w:rsid w:val="008E3A22"/>
    <w:rsid w:val="008F4F09"/>
    <w:rsid w:val="008F7710"/>
    <w:rsid w:val="00905BED"/>
    <w:rsid w:val="0091140C"/>
    <w:rsid w:val="009215B7"/>
    <w:rsid w:val="00921633"/>
    <w:rsid w:val="00926EA6"/>
    <w:rsid w:val="00927A66"/>
    <w:rsid w:val="00927B03"/>
    <w:rsid w:val="0093198C"/>
    <w:rsid w:val="00931CD0"/>
    <w:rsid w:val="009355ED"/>
    <w:rsid w:val="00936091"/>
    <w:rsid w:val="00940D7F"/>
    <w:rsid w:val="00944E2B"/>
    <w:rsid w:val="00950634"/>
    <w:rsid w:val="009805ED"/>
    <w:rsid w:val="0099135B"/>
    <w:rsid w:val="009933CF"/>
    <w:rsid w:val="00995BC0"/>
    <w:rsid w:val="009A4057"/>
    <w:rsid w:val="009B1282"/>
    <w:rsid w:val="009B34AF"/>
    <w:rsid w:val="009B4ABE"/>
    <w:rsid w:val="009B50AE"/>
    <w:rsid w:val="009B5D71"/>
    <w:rsid w:val="009B79C7"/>
    <w:rsid w:val="009C1DB7"/>
    <w:rsid w:val="009C4590"/>
    <w:rsid w:val="009C7F2C"/>
    <w:rsid w:val="009D0C74"/>
    <w:rsid w:val="009D2E59"/>
    <w:rsid w:val="009E05C1"/>
    <w:rsid w:val="009E2F34"/>
    <w:rsid w:val="009E3A75"/>
    <w:rsid w:val="009F0AFD"/>
    <w:rsid w:val="009F2ED8"/>
    <w:rsid w:val="009F3944"/>
    <w:rsid w:val="00A03F54"/>
    <w:rsid w:val="00A0535D"/>
    <w:rsid w:val="00A148A4"/>
    <w:rsid w:val="00A45CE7"/>
    <w:rsid w:val="00A546D2"/>
    <w:rsid w:val="00A55AC3"/>
    <w:rsid w:val="00A61FA9"/>
    <w:rsid w:val="00A65E40"/>
    <w:rsid w:val="00A67421"/>
    <w:rsid w:val="00A71E3C"/>
    <w:rsid w:val="00A71FBF"/>
    <w:rsid w:val="00A72352"/>
    <w:rsid w:val="00A76DC0"/>
    <w:rsid w:val="00A77D2E"/>
    <w:rsid w:val="00A90349"/>
    <w:rsid w:val="00A95E50"/>
    <w:rsid w:val="00AA7FFD"/>
    <w:rsid w:val="00AB74A5"/>
    <w:rsid w:val="00AC02F5"/>
    <w:rsid w:val="00AC4485"/>
    <w:rsid w:val="00AD195A"/>
    <w:rsid w:val="00AD7871"/>
    <w:rsid w:val="00AE448E"/>
    <w:rsid w:val="00AF3F98"/>
    <w:rsid w:val="00B11DD1"/>
    <w:rsid w:val="00B221D9"/>
    <w:rsid w:val="00B225DF"/>
    <w:rsid w:val="00B240F3"/>
    <w:rsid w:val="00B33FA7"/>
    <w:rsid w:val="00B349CF"/>
    <w:rsid w:val="00B35E7E"/>
    <w:rsid w:val="00B40190"/>
    <w:rsid w:val="00B420DB"/>
    <w:rsid w:val="00B450EA"/>
    <w:rsid w:val="00B4701A"/>
    <w:rsid w:val="00B55552"/>
    <w:rsid w:val="00B578C9"/>
    <w:rsid w:val="00B63838"/>
    <w:rsid w:val="00B63BA5"/>
    <w:rsid w:val="00B67D44"/>
    <w:rsid w:val="00B67E95"/>
    <w:rsid w:val="00B73B4B"/>
    <w:rsid w:val="00BA24F9"/>
    <w:rsid w:val="00BA2B6A"/>
    <w:rsid w:val="00BA5D2E"/>
    <w:rsid w:val="00BB3FE3"/>
    <w:rsid w:val="00BC1039"/>
    <w:rsid w:val="00BC2F04"/>
    <w:rsid w:val="00BD044F"/>
    <w:rsid w:val="00BD2694"/>
    <w:rsid w:val="00BD59E3"/>
    <w:rsid w:val="00BD5BF1"/>
    <w:rsid w:val="00BE05C9"/>
    <w:rsid w:val="00BE1633"/>
    <w:rsid w:val="00BE3A94"/>
    <w:rsid w:val="00BF0130"/>
    <w:rsid w:val="00BF5C9D"/>
    <w:rsid w:val="00C10C2A"/>
    <w:rsid w:val="00C1291C"/>
    <w:rsid w:val="00C14DFD"/>
    <w:rsid w:val="00C15FBF"/>
    <w:rsid w:val="00C16131"/>
    <w:rsid w:val="00C1691B"/>
    <w:rsid w:val="00C20DBD"/>
    <w:rsid w:val="00C21B1E"/>
    <w:rsid w:val="00C23271"/>
    <w:rsid w:val="00C34BFB"/>
    <w:rsid w:val="00C44DF5"/>
    <w:rsid w:val="00C461BD"/>
    <w:rsid w:val="00C64F84"/>
    <w:rsid w:val="00C65F88"/>
    <w:rsid w:val="00C75043"/>
    <w:rsid w:val="00C872A8"/>
    <w:rsid w:val="00C91542"/>
    <w:rsid w:val="00CA1ACA"/>
    <w:rsid w:val="00CA31D8"/>
    <w:rsid w:val="00CB1B2F"/>
    <w:rsid w:val="00CB2D43"/>
    <w:rsid w:val="00CB6723"/>
    <w:rsid w:val="00CC277C"/>
    <w:rsid w:val="00CC48B8"/>
    <w:rsid w:val="00CE224A"/>
    <w:rsid w:val="00D0583D"/>
    <w:rsid w:val="00D0590F"/>
    <w:rsid w:val="00D07B97"/>
    <w:rsid w:val="00D12354"/>
    <w:rsid w:val="00D14850"/>
    <w:rsid w:val="00D156D6"/>
    <w:rsid w:val="00D16065"/>
    <w:rsid w:val="00D2164F"/>
    <w:rsid w:val="00D27647"/>
    <w:rsid w:val="00D328DD"/>
    <w:rsid w:val="00D36E98"/>
    <w:rsid w:val="00D44A14"/>
    <w:rsid w:val="00D7461F"/>
    <w:rsid w:val="00D75909"/>
    <w:rsid w:val="00D83415"/>
    <w:rsid w:val="00D83D8A"/>
    <w:rsid w:val="00D86516"/>
    <w:rsid w:val="00D92092"/>
    <w:rsid w:val="00DA29E4"/>
    <w:rsid w:val="00DA677F"/>
    <w:rsid w:val="00DB328A"/>
    <w:rsid w:val="00DB5A45"/>
    <w:rsid w:val="00DC4315"/>
    <w:rsid w:val="00DC4D23"/>
    <w:rsid w:val="00DC50B3"/>
    <w:rsid w:val="00DC5211"/>
    <w:rsid w:val="00DC72DA"/>
    <w:rsid w:val="00DD251E"/>
    <w:rsid w:val="00DE2E31"/>
    <w:rsid w:val="00DE72B3"/>
    <w:rsid w:val="00DF17B4"/>
    <w:rsid w:val="00E123E1"/>
    <w:rsid w:val="00E17638"/>
    <w:rsid w:val="00E21A68"/>
    <w:rsid w:val="00E269EB"/>
    <w:rsid w:val="00E3321F"/>
    <w:rsid w:val="00E368F0"/>
    <w:rsid w:val="00E41124"/>
    <w:rsid w:val="00E4207B"/>
    <w:rsid w:val="00E42C70"/>
    <w:rsid w:val="00E45788"/>
    <w:rsid w:val="00E531B2"/>
    <w:rsid w:val="00E603EE"/>
    <w:rsid w:val="00E65D5F"/>
    <w:rsid w:val="00E66CFF"/>
    <w:rsid w:val="00E70A34"/>
    <w:rsid w:val="00E735D6"/>
    <w:rsid w:val="00E73AD0"/>
    <w:rsid w:val="00E76193"/>
    <w:rsid w:val="00E775DD"/>
    <w:rsid w:val="00E86C6A"/>
    <w:rsid w:val="00E9299B"/>
    <w:rsid w:val="00EA7070"/>
    <w:rsid w:val="00EB4623"/>
    <w:rsid w:val="00EB6244"/>
    <w:rsid w:val="00EC0364"/>
    <w:rsid w:val="00EE0407"/>
    <w:rsid w:val="00EE3690"/>
    <w:rsid w:val="00EE413C"/>
    <w:rsid w:val="00EE7EE5"/>
    <w:rsid w:val="00EF285F"/>
    <w:rsid w:val="00EF7AE0"/>
    <w:rsid w:val="00F00FF1"/>
    <w:rsid w:val="00F05159"/>
    <w:rsid w:val="00F07A8B"/>
    <w:rsid w:val="00F168C8"/>
    <w:rsid w:val="00F23FE5"/>
    <w:rsid w:val="00F31CB0"/>
    <w:rsid w:val="00F36EFB"/>
    <w:rsid w:val="00F407BD"/>
    <w:rsid w:val="00F41CF9"/>
    <w:rsid w:val="00F43137"/>
    <w:rsid w:val="00F462AE"/>
    <w:rsid w:val="00F57C2F"/>
    <w:rsid w:val="00F60384"/>
    <w:rsid w:val="00F63DF7"/>
    <w:rsid w:val="00F71713"/>
    <w:rsid w:val="00F73135"/>
    <w:rsid w:val="00F75448"/>
    <w:rsid w:val="00F83C87"/>
    <w:rsid w:val="00F843AB"/>
    <w:rsid w:val="00F84F2A"/>
    <w:rsid w:val="00F905E5"/>
    <w:rsid w:val="00F90E79"/>
    <w:rsid w:val="00FA59BE"/>
    <w:rsid w:val="00FB588F"/>
    <w:rsid w:val="00FB7D71"/>
    <w:rsid w:val="00FC3054"/>
    <w:rsid w:val="00FC440F"/>
    <w:rsid w:val="00FD4A95"/>
    <w:rsid w:val="00FE1CAB"/>
    <w:rsid w:val="00FF07E5"/>
  </w:rsids>
  <m:mathPr>
    <m:mathFont m:val="Cambria Math"/>
    <m:brkBin m:val="before"/>
    <m:brkBinSub m:val="--"/>
    <m:smallFrac m:val="0"/>
    <m:dispDef/>
    <m:lMargin m:val="0"/>
    <m:rMargin m:val="0"/>
    <m:defJc m:val="centerGroup"/>
    <m:wrapIndent m:val="1440"/>
    <m:intLim m:val="subSup"/>
    <m:naryLim m:val="undOvr"/>
  </m:mathPr>
  <w:themeFontLang w:val="en-ZA"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1647D"/>
  <w15:chartTrackingRefBased/>
  <w15:docId w15:val="{2F0E1391-FCB7-4C18-AC86-BA4BD0AD7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11DD1"/>
    <w:pPr>
      <w:spacing w:after="0" w:line="240" w:lineRule="auto"/>
    </w:pPr>
    <w:rPr>
      <w:rFonts w:ascii="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552"/>
    <w:pPr>
      <w:ind w:left="720"/>
      <w:contextualSpacing/>
    </w:pPr>
    <w:rPr>
      <w:rFonts w:asciiTheme="minorHAnsi" w:hAnsiTheme="minorHAnsi" w:cstheme="minorBidi"/>
    </w:rPr>
  </w:style>
  <w:style w:type="paragraph" w:styleId="FootnoteText">
    <w:name w:val="footnote text"/>
    <w:basedOn w:val="Normal"/>
    <w:link w:val="FootnoteTextChar"/>
    <w:uiPriority w:val="99"/>
    <w:unhideWhenUsed/>
    <w:rsid w:val="00EF7AE0"/>
    <w:rPr>
      <w:rFonts w:asciiTheme="minorHAnsi" w:hAnsiTheme="minorHAnsi" w:cstheme="minorBidi"/>
    </w:rPr>
  </w:style>
  <w:style w:type="character" w:customStyle="1" w:styleId="FootnoteTextChar">
    <w:name w:val="Footnote Text Char"/>
    <w:basedOn w:val="DefaultParagraphFont"/>
    <w:link w:val="FootnoteText"/>
    <w:uiPriority w:val="99"/>
    <w:rsid w:val="00EF7AE0"/>
    <w:rPr>
      <w:sz w:val="24"/>
      <w:szCs w:val="24"/>
      <w:lang w:val="en-US"/>
    </w:rPr>
  </w:style>
  <w:style w:type="character" w:styleId="FootnoteReference">
    <w:name w:val="footnote reference"/>
    <w:basedOn w:val="DefaultParagraphFont"/>
    <w:uiPriority w:val="99"/>
    <w:unhideWhenUsed/>
    <w:rsid w:val="00EF7AE0"/>
    <w:rPr>
      <w:vertAlign w:val="superscript"/>
    </w:rPr>
  </w:style>
  <w:style w:type="character" w:styleId="Hyperlink">
    <w:name w:val="Hyperlink"/>
    <w:basedOn w:val="DefaultParagraphFont"/>
    <w:uiPriority w:val="99"/>
    <w:unhideWhenUsed/>
    <w:rsid w:val="00A95E50"/>
    <w:rPr>
      <w:color w:val="0563C1" w:themeColor="hyperlink"/>
      <w:u w:val="single"/>
    </w:rPr>
  </w:style>
  <w:style w:type="character" w:customStyle="1" w:styleId="t">
    <w:name w:val="t"/>
    <w:basedOn w:val="DefaultParagraphFont"/>
    <w:rsid w:val="002822DE"/>
  </w:style>
  <w:style w:type="character" w:customStyle="1" w:styleId="apple-converted-space">
    <w:name w:val="apple-converted-space"/>
    <w:basedOn w:val="DefaultParagraphFont"/>
    <w:rsid w:val="002822DE"/>
  </w:style>
  <w:style w:type="paragraph" w:styleId="BalloonText">
    <w:name w:val="Balloon Text"/>
    <w:basedOn w:val="Normal"/>
    <w:link w:val="BalloonTextChar"/>
    <w:uiPriority w:val="99"/>
    <w:semiHidden/>
    <w:unhideWhenUsed/>
    <w:rsid w:val="000356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635"/>
    <w:rPr>
      <w:rFonts w:ascii="Segoe UI" w:hAnsi="Segoe UI" w:cs="Segoe UI"/>
      <w:sz w:val="18"/>
      <w:szCs w:val="18"/>
      <w:lang w:val="en-US"/>
    </w:rPr>
  </w:style>
  <w:style w:type="paragraph" w:styleId="Header">
    <w:name w:val="header"/>
    <w:basedOn w:val="Normal"/>
    <w:link w:val="HeaderChar"/>
    <w:uiPriority w:val="99"/>
    <w:unhideWhenUsed/>
    <w:rsid w:val="00035635"/>
    <w:pPr>
      <w:tabs>
        <w:tab w:val="center" w:pos="4513"/>
        <w:tab w:val="right" w:pos="9026"/>
      </w:tabs>
    </w:pPr>
  </w:style>
  <w:style w:type="character" w:customStyle="1" w:styleId="HeaderChar">
    <w:name w:val="Header Char"/>
    <w:basedOn w:val="DefaultParagraphFont"/>
    <w:link w:val="Header"/>
    <w:uiPriority w:val="99"/>
    <w:rsid w:val="00035635"/>
    <w:rPr>
      <w:rFonts w:ascii="Times New Roman" w:hAnsi="Times New Roman" w:cs="Times New Roman"/>
      <w:sz w:val="24"/>
      <w:szCs w:val="24"/>
      <w:lang w:val="en-US"/>
    </w:rPr>
  </w:style>
  <w:style w:type="paragraph" w:styleId="Footer">
    <w:name w:val="footer"/>
    <w:basedOn w:val="Normal"/>
    <w:link w:val="FooterChar"/>
    <w:uiPriority w:val="99"/>
    <w:unhideWhenUsed/>
    <w:rsid w:val="00035635"/>
    <w:pPr>
      <w:tabs>
        <w:tab w:val="center" w:pos="4513"/>
        <w:tab w:val="right" w:pos="9026"/>
      </w:tabs>
    </w:pPr>
  </w:style>
  <w:style w:type="character" w:customStyle="1" w:styleId="FooterChar">
    <w:name w:val="Footer Char"/>
    <w:basedOn w:val="DefaultParagraphFont"/>
    <w:link w:val="Footer"/>
    <w:uiPriority w:val="99"/>
    <w:rsid w:val="00035635"/>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675595">
      <w:bodyDiv w:val="1"/>
      <w:marLeft w:val="0"/>
      <w:marRight w:val="0"/>
      <w:marTop w:val="0"/>
      <w:marBottom w:val="0"/>
      <w:divBdr>
        <w:top w:val="none" w:sz="0" w:space="0" w:color="auto"/>
        <w:left w:val="none" w:sz="0" w:space="0" w:color="auto"/>
        <w:bottom w:val="none" w:sz="0" w:space="0" w:color="auto"/>
        <w:right w:val="none" w:sz="0" w:space="0" w:color="auto"/>
      </w:divBdr>
    </w:div>
    <w:div w:id="189847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22F4B-3C49-7B45-8B66-113096950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2637</Words>
  <Characters>15037</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Caitlin Hutchinson Maddox</cp:lastModifiedBy>
  <cp:revision>2</cp:revision>
  <cp:lastPrinted>2017-06-09T07:18:00Z</cp:lastPrinted>
  <dcterms:created xsi:type="dcterms:W3CDTF">2017-07-13T18:59:00Z</dcterms:created>
  <dcterms:modified xsi:type="dcterms:W3CDTF">2017-07-13T18:59:00Z</dcterms:modified>
</cp:coreProperties>
</file>