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8B88A" w14:textId="77777777" w:rsidR="003A18CF" w:rsidRPr="00262611" w:rsidRDefault="0003374F" w:rsidP="00262611">
      <w:pPr>
        <w:spacing w:line="240" w:lineRule="auto"/>
        <w:jc w:val="center"/>
        <w:outlineLvl w:val="0"/>
        <w:rPr>
          <w:sz w:val="24"/>
          <w:szCs w:val="24"/>
        </w:rPr>
      </w:pPr>
      <w:bookmarkStart w:id="0" w:name="_Hlk78402568"/>
      <w:bookmarkStart w:id="1" w:name="_GoBack"/>
      <w:bookmarkEnd w:id="1"/>
      <w:r w:rsidRPr="00262611">
        <w:rPr>
          <w:b/>
          <w:bCs/>
          <w:noProof/>
          <w:color w:val="1F497D"/>
          <w:sz w:val="24"/>
          <w:szCs w:val="24"/>
          <w:lang w:eastAsia="en-ZA"/>
        </w:rPr>
        <w:drawing>
          <wp:inline distT="0" distB="0" distL="0" distR="0" wp14:anchorId="394D3568" wp14:editId="6206A395">
            <wp:extent cx="849732" cy="876300"/>
            <wp:effectExtent l="19050" t="0" r="7518" b="0"/>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49732" cy="876300"/>
                    </a:xfrm>
                    <a:prstGeom prst="rect">
                      <a:avLst/>
                    </a:prstGeom>
                    <a:noFill/>
                    <a:ln w="9525">
                      <a:noFill/>
                      <a:miter lim="800000"/>
                      <a:headEnd/>
                      <a:tailEnd/>
                    </a:ln>
                  </pic:spPr>
                </pic:pic>
              </a:graphicData>
            </a:graphic>
          </wp:inline>
        </w:drawing>
      </w:r>
    </w:p>
    <w:p w14:paraId="5C9C2D05" w14:textId="77777777" w:rsidR="003A18CF" w:rsidRPr="00262611" w:rsidRDefault="003A18CF" w:rsidP="00262611">
      <w:pPr>
        <w:spacing w:line="240" w:lineRule="auto"/>
        <w:jc w:val="center"/>
        <w:outlineLvl w:val="0"/>
        <w:rPr>
          <w:sz w:val="24"/>
          <w:szCs w:val="24"/>
        </w:rPr>
      </w:pPr>
    </w:p>
    <w:p w14:paraId="6E77FD11" w14:textId="77777777" w:rsidR="003A18CF" w:rsidRPr="00262611" w:rsidRDefault="003A18CF" w:rsidP="00262611">
      <w:pPr>
        <w:spacing w:line="240" w:lineRule="auto"/>
        <w:jc w:val="center"/>
        <w:outlineLvl w:val="0"/>
        <w:rPr>
          <w:b/>
          <w:sz w:val="24"/>
          <w:szCs w:val="24"/>
        </w:rPr>
      </w:pPr>
      <w:r w:rsidRPr="00262611">
        <w:rPr>
          <w:b/>
          <w:sz w:val="24"/>
          <w:szCs w:val="24"/>
        </w:rPr>
        <w:t>CONSTITUTIONAL COURT OF SOUTH AFRICA</w:t>
      </w:r>
    </w:p>
    <w:p w14:paraId="0C3476BB" w14:textId="77777777" w:rsidR="003A18CF" w:rsidRPr="00262611" w:rsidRDefault="003A18CF" w:rsidP="00262611">
      <w:pPr>
        <w:spacing w:line="240" w:lineRule="auto"/>
        <w:rPr>
          <w:sz w:val="24"/>
          <w:szCs w:val="24"/>
        </w:rPr>
      </w:pPr>
    </w:p>
    <w:p w14:paraId="53BB99A8" w14:textId="20C45184" w:rsidR="003649E0" w:rsidRDefault="003649E0" w:rsidP="00FD5047">
      <w:pPr>
        <w:spacing w:line="240" w:lineRule="auto"/>
        <w:jc w:val="center"/>
        <w:rPr>
          <w:b/>
          <w:bCs/>
          <w:sz w:val="24"/>
          <w:szCs w:val="24"/>
        </w:rPr>
      </w:pPr>
      <w:r w:rsidRPr="00262611">
        <w:rPr>
          <w:b/>
          <w:bCs/>
          <w:sz w:val="24"/>
          <w:szCs w:val="24"/>
        </w:rPr>
        <w:t>Qwelane v South African Human Rights Commission and Another</w:t>
      </w:r>
    </w:p>
    <w:p w14:paraId="0B200E8A" w14:textId="77777777" w:rsidR="00FD5047" w:rsidRPr="00262611" w:rsidRDefault="00FD5047" w:rsidP="00262611">
      <w:pPr>
        <w:spacing w:line="240" w:lineRule="auto"/>
        <w:jc w:val="center"/>
        <w:rPr>
          <w:b/>
          <w:bCs/>
          <w:sz w:val="24"/>
          <w:szCs w:val="24"/>
        </w:rPr>
      </w:pPr>
    </w:p>
    <w:p w14:paraId="5F02A4EF" w14:textId="67DA701D" w:rsidR="003649E0" w:rsidRPr="00262611" w:rsidRDefault="00144DE3" w:rsidP="00FD5047">
      <w:pPr>
        <w:spacing w:line="240" w:lineRule="auto"/>
        <w:ind w:left="6480" w:firstLine="720"/>
        <w:jc w:val="right"/>
        <w:rPr>
          <w:b/>
          <w:bCs/>
          <w:sz w:val="24"/>
          <w:szCs w:val="24"/>
        </w:rPr>
      </w:pPr>
      <w:r w:rsidRPr="00262611">
        <w:rPr>
          <w:b/>
          <w:bCs/>
          <w:sz w:val="24"/>
          <w:szCs w:val="24"/>
        </w:rPr>
        <w:t>Case CCT 13/20</w:t>
      </w:r>
    </w:p>
    <w:p w14:paraId="420BFA47" w14:textId="77777777" w:rsidR="00FD5047" w:rsidRPr="00262611" w:rsidRDefault="00FD5047" w:rsidP="00262611">
      <w:pPr>
        <w:spacing w:line="240" w:lineRule="auto"/>
        <w:ind w:left="6480" w:firstLine="720"/>
        <w:jc w:val="right"/>
        <w:rPr>
          <w:b/>
          <w:bCs/>
          <w:sz w:val="24"/>
          <w:szCs w:val="24"/>
        </w:rPr>
      </w:pPr>
    </w:p>
    <w:p w14:paraId="037E5C0A" w14:textId="77777777" w:rsidR="003649E0" w:rsidRPr="00262611" w:rsidRDefault="003649E0" w:rsidP="00262611">
      <w:pPr>
        <w:spacing w:line="240" w:lineRule="auto"/>
        <w:ind w:left="5040"/>
        <w:jc w:val="right"/>
        <w:rPr>
          <w:b/>
          <w:bCs/>
          <w:sz w:val="24"/>
          <w:szCs w:val="24"/>
        </w:rPr>
      </w:pPr>
      <w:r w:rsidRPr="00262611">
        <w:rPr>
          <w:b/>
          <w:bCs/>
          <w:sz w:val="24"/>
          <w:szCs w:val="24"/>
        </w:rPr>
        <w:t xml:space="preserve">Date of hearing: 22 September 2020 </w:t>
      </w:r>
    </w:p>
    <w:p w14:paraId="219D9EBC" w14:textId="2677E822" w:rsidR="004D02BA" w:rsidRPr="00262611" w:rsidRDefault="003649E0" w:rsidP="00262611">
      <w:pPr>
        <w:spacing w:line="240" w:lineRule="auto"/>
        <w:ind w:left="5040" w:firstLine="720"/>
        <w:rPr>
          <w:b/>
          <w:bCs/>
          <w:sz w:val="24"/>
          <w:szCs w:val="24"/>
        </w:rPr>
      </w:pPr>
      <w:r w:rsidRPr="00262611">
        <w:rPr>
          <w:b/>
          <w:bCs/>
          <w:sz w:val="24"/>
          <w:szCs w:val="24"/>
        </w:rPr>
        <w:t xml:space="preserve">Date of </w:t>
      </w:r>
      <w:r w:rsidR="00FD5047">
        <w:rPr>
          <w:b/>
          <w:bCs/>
          <w:sz w:val="24"/>
          <w:szCs w:val="24"/>
        </w:rPr>
        <w:t>j</w:t>
      </w:r>
      <w:r w:rsidRPr="00262611">
        <w:rPr>
          <w:b/>
          <w:bCs/>
          <w:sz w:val="24"/>
          <w:szCs w:val="24"/>
        </w:rPr>
        <w:t>udgment: 30 July 2021</w:t>
      </w:r>
    </w:p>
    <w:p w14:paraId="26A81D5F" w14:textId="77777777" w:rsidR="00FD5047" w:rsidRPr="00262611" w:rsidRDefault="00FD5047" w:rsidP="00262611">
      <w:pPr>
        <w:spacing w:line="240" w:lineRule="auto"/>
        <w:ind w:left="5040" w:firstLine="720"/>
        <w:jc w:val="right"/>
        <w:rPr>
          <w:sz w:val="24"/>
          <w:szCs w:val="24"/>
        </w:rPr>
      </w:pPr>
    </w:p>
    <w:p w14:paraId="36DF677E" w14:textId="77777777" w:rsidR="003A18CF" w:rsidRPr="00262611" w:rsidRDefault="003A18CF" w:rsidP="00262611">
      <w:pPr>
        <w:keepNext/>
        <w:pBdr>
          <w:top w:val="single" w:sz="4" w:space="1" w:color="auto"/>
          <w:bottom w:val="single" w:sz="4" w:space="1" w:color="auto"/>
        </w:pBdr>
        <w:spacing w:line="240" w:lineRule="auto"/>
        <w:rPr>
          <w:sz w:val="24"/>
          <w:szCs w:val="24"/>
        </w:rPr>
      </w:pPr>
    </w:p>
    <w:p w14:paraId="33921468" w14:textId="61111626" w:rsidR="003A18CF" w:rsidRDefault="00FD5047" w:rsidP="00FD5047">
      <w:pPr>
        <w:keepNext/>
        <w:pBdr>
          <w:top w:val="single" w:sz="4" w:space="1" w:color="auto"/>
          <w:bottom w:val="single" w:sz="4" w:space="1" w:color="auto"/>
        </w:pBdr>
        <w:spacing w:line="240" w:lineRule="auto"/>
        <w:jc w:val="center"/>
        <w:outlineLvl w:val="0"/>
        <w:rPr>
          <w:b/>
          <w:sz w:val="24"/>
          <w:szCs w:val="24"/>
        </w:rPr>
      </w:pPr>
      <w:r>
        <w:rPr>
          <w:b/>
          <w:sz w:val="24"/>
          <w:szCs w:val="24"/>
        </w:rPr>
        <w:t>MEDIA SUMMARY</w:t>
      </w:r>
    </w:p>
    <w:p w14:paraId="0DC8D8CD" w14:textId="77777777" w:rsidR="00FD5047" w:rsidRPr="00262611" w:rsidRDefault="00FD5047" w:rsidP="00262611">
      <w:pPr>
        <w:keepNext/>
        <w:pBdr>
          <w:top w:val="single" w:sz="4" w:space="1" w:color="auto"/>
          <w:bottom w:val="single" w:sz="4" w:space="1" w:color="auto"/>
        </w:pBdr>
        <w:spacing w:line="240" w:lineRule="auto"/>
        <w:jc w:val="center"/>
        <w:outlineLvl w:val="0"/>
        <w:rPr>
          <w:b/>
          <w:sz w:val="24"/>
          <w:szCs w:val="24"/>
        </w:rPr>
      </w:pPr>
    </w:p>
    <w:p w14:paraId="00F1F8B9" w14:textId="77777777" w:rsidR="00FD5047" w:rsidRDefault="00FD5047" w:rsidP="00262611">
      <w:pPr>
        <w:spacing w:line="240" w:lineRule="auto"/>
        <w:rPr>
          <w:i/>
          <w:sz w:val="24"/>
          <w:szCs w:val="24"/>
        </w:rPr>
      </w:pPr>
    </w:p>
    <w:p w14:paraId="0625A623" w14:textId="69947FA6" w:rsidR="003A18CF" w:rsidRPr="00262611" w:rsidRDefault="003649E0" w:rsidP="00262611">
      <w:pPr>
        <w:spacing w:line="240" w:lineRule="auto"/>
        <w:rPr>
          <w:i/>
          <w:sz w:val="24"/>
          <w:szCs w:val="24"/>
        </w:rPr>
      </w:pPr>
      <w:r w:rsidRPr="00262611">
        <w:rPr>
          <w:i/>
          <w:sz w:val="24"/>
          <w:szCs w:val="24"/>
        </w:rPr>
        <w:t>The following explanatory note is provided to assist the media in reporting this case and is not binding on the Constitutional Court or any member of the Court.</w:t>
      </w:r>
    </w:p>
    <w:p w14:paraId="6D6343B6" w14:textId="77777777" w:rsidR="00114DD0" w:rsidRPr="00262611" w:rsidRDefault="00114DD0" w:rsidP="00262611">
      <w:pPr>
        <w:spacing w:line="240" w:lineRule="auto"/>
        <w:rPr>
          <w:sz w:val="24"/>
          <w:szCs w:val="24"/>
        </w:rPr>
      </w:pPr>
    </w:p>
    <w:p w14:paraId="14298366" w14:textId="1987E6A1" w:rsidR="00F06DB6" w:rsidRPr="00262611" w:rsidRDefault="00114DD0" w:rsidP="00262611">
      <w:pPr>
        <w:spacing w:line="240" w:lineRule="auto"/>
        <w:rPr>
          <w:sz w:val="24"/>
          <w:szCs w:val="24"/>
        </w:rPr>
      </w:pPr>
      <w:r w:rsidRPr="00262611">
        <w:rPr>
          <w:sz w:val="24"/>
          <w:szCs w:val="24"/>
        </w:rPr>
        <w:t>On 30 July 2021 at 10h00</w:t>
      </w:r>
      <w:r w:rsidR="00FD5047">
        <w:rPr>
          <w:sz w:val="24"/>
          <w:szCs w:val="24"/>
        </w:rPr>
        <w:t>,</w:t>
      </w:r>
      <w:r w:rsidRPr="00262611">
        <w:rPr>
          <w:sz w:val="24"/>
          <w:szCs w:val="24"/>
        </w:rPr>
        <w:t xml:space="preserve"> the Constitutional Court handed down judgment in an application for confirmation of an order of constitutional invalidity granted by the Supreme Court of Appeal (hearing an appeal from the High Court of South Africa, Gauteng Local Division, Johannesburg), </w:t>
      </w:r>
      <w:r w:rsidR="00FD5047">
        <w:rPr>
          <w:sz w:val="24"/>
          <w:szCs w:val="24"/>
        </w:rPr>
        <w:t>concerning</w:t>
      </w:r>
      <w:r w:rsidR="00BA46E0">
        <w:rPr>
          <w:sz w:val="24"/>
          <w:szCs w:val="24"/>
        </w:rPr>
        <w:t xml:space="preserve"> </w:t>
      </w:r>
      <w:r w:rsidR="00F06DB6" w:rsidRPr="00262611">
        <w:rPr>
          <w:sz w:val="24"/>
          <w:szCs w:val="24"/>
        </w:rPr>
        <w:t>section 10 of the Promotion of Equality and Prevention of Unfair Discrimination Act 4 of 2000 (the Equality Act).</w:t>
      </w:r>
    </w:p>
    <w:p w14:paraId="17A29149" w14:textId="77777777" w:rsidR="00F06DB6" w:rsidRPr="00262611" w:rsidRDefault="00F06DB6" w:rsidP="00262611">
      <w:pPr>
        <w:spacing w:line="240" w:lineRule="auto"/>
        <w:rPr>
          <w:sz w:val="24"/>
          <w:szCs w:val="24"/>
        </w:rPr>
      </w:pPr>
    </w:p>
    <w:p w14:paraId="52AC5DF5" w14:textId="3FC719E3" w:rsidR="00F06DB6" w:rsidRPr="00262611" w:rsidRDefault="00407ACD" w:rsidP="00262611">
      <w:pPr>
        <w:spacing w:line="240" w:lineRule="auto"/>
        <w:rPr>
          <w:sz w:val="24"/>
          <w:szCs w:val="24"/>
          <w:lang w:val="en-US"/>
        </w:rPr>
      </w:pPr>
      <w:r w:rsidRPr="00262611">
        <w:rPr>
          <w:sz w:val="24"/>
          <w:szCs w:val="24"/>
        </w:rPr>
        <w:t>Mr Qwelane, a popular columnist</w:t>
      </w:r>
      <w:r w:rsidR="00FD5047">
        <w:rPr>
          <w:sz w:val="24"/>
          <w:szCs w:val="24"/>
        </w:rPr>
        <w:t>,</w:t>
      </w:r>
      <w:r w:rsidRPr="00262611">
        <w:rPr>
          <w:sz w:val="24"/>
          <w:szCs w:val="24"/>
        </w:rPr>
        <w:t xml:space="preserve"> penned an article titled “Call me names</w:t>
      </w:r>
      <w:r w:rsidR="008F0F0E">
        <w:rPr>
          <w:sz w:val="24"/>
          <w:szCs w:val="24"/>
        </w:rPr>
        <w:t xml:space="preserve"> –</w:t>
      </w:r>
      <w:r w:rsidRPr="00262611">
        <w:rPr>
          <w:sz w:val="24"/>
          <w:szCs w:val="24"/>
        </w:rPr>
        <w:t xml:space="preserve"> but gay is not okay”, which was published by the Sunday Sun </w:t>
      </w:r>
      <w:r w:rsidR="008F0F0E">
        <w:rPr>
          <w:sz w:val="24"/>
          <w:szCs w:val="24"/>
        </w:rPr>
        <w:t>n</w:t>
      </w:r>
      <w:r w:rsidRPr="00262611">
        <w:rPr>
          <w:sz w:val="24"/>
          <w:szCs w:val="24"/>
        </w:rPr>
        <w:t xml:space="preserve">ewspaper </w:t>
      </w:r>
      <w:r w:rsidR="00FD5047">
        <w:rPr>
          <w:sz w:val="24"/>
          <w:szCs w:val="24"/>
        </w:rPr>
        <w:t>in</w:t>
      </w:r>
      <w:r w:rsidRPr="00262611">
        <w:rPr>
          <w:sz w:val="24"/>
          <w:szCs w:val="24"/>
        </w:rPr>
        <w:t xml:space="preserve"> 2008.</w:t>
      </w:r>
      <w:r w:rsidR="00FD5047">
        <w:rPr>
          <w:sz w:val="24"/>
          <w:szCs w:val="24"/>
        </w:rPr>
        <w:t xml:space="preserve"> </w:t>
      </w:r>
      <w:r w:rsidRPr="00262611">
        <w:rPr>
          <w:sz w:val="24"/>
          <w:szCs w:val="24"/>
        </w:rPr>
        <w:t xml:space="preserve"> In the article, the applicant </w:t>
      </w:r>
      <w:r w:rsidR="008B4495" w:rsidRPr="00262611">
        <w:rPr>
          <w:sz w:val="24"/>
          <w:szCs w:val="24"/>
          <w:lang w:val="en-US"/>
        </w:rPr>
        <w:t xml:space="preserve">compared gay and lesbian people to animals and postulated that they were responsible for the rapid degeneration of values in society. </w:t>
      </w:r>
      <w:r w:rsidR="00FD5047">
        <w:rPr>
          <w:sz w:val="24"/>
          <w:szCs w:val="24"/>
          <w:lang w:val="en-US"/>
        </w:rPr>
        <w:t xml:space="preserve"> </w:t>
      </w:r>
      <w:r w:rsidR="008B4495" w:rsidRPr="00262611">
        <w:rPr>
          <w:sz w:val="24"/>
          <w:szCs w:val="24"/>
          <w:lang w:val="en-US"/>
        </w:rPr>
        <w:t>This article was met with</w:t>
      </w:r>
      <w:r w:rsidR="00FD5047">
        <w:rPr>
          <w:sz w:val="24"/>
          <w:szCs w:val="24"/>
          <w:lang w:val="en-US"/>
        </w:rPr>
        <w:t xml:space="preserve"> a</w:t>
      </w:r>
      <w:r w:rsidR="008B4495" w:rsidRPr="00262611">
        <w:rPr>
          <w:sz w:val="24"/>
          <w:szCs w:val="24"/>
          <w:lang w:val="en-US"/>
        </w:rPr>
        <w:t xml:space="preserve"> public outcry</w:t>
      </w:r>
      <w:r w:rsidR="00FD5047">
        <w:rPr>
          <w:sz w:val="24"/>
          <w:szCs w:val="24"/>
          <w:lang w:val="en-US"/>
        </w:rPr>
        <w:t>,</w:t>
      </w:r>
      <w:r w:rsidR="008B4495" w:rsidRPr="00262611">
        <w:rPr>
          <w:sz w:val="24"/>
          <w:szCs w:val="24"/>
          <w:lang w:val="en-US"/>
        </w:rPr>
        <w:t xml:space="preserve"> </w:t>
      </w:r>
      <w:r w:rsidR="008F0F0E">
        <w:rPr>
          <w:sz w:val="24"/>
          <w:szCs w:val="24"/>
          <w:lang w:val="en-US"/>
        </w:rPr>
        <w:t xml:space="preserve">and </w:t>
      </w:r>
      <w:r w:rsidR="008B4495" w:rsidRPr="00262611">
        <w:rPr>
          <w:sz w:val="24"/>
          <w:szCs w:val="24"/>
          <w:lang w:val="en-US"/>
        </w:rPr>
        <w:t>the South African Human Rights Commission receiv</w:t>
      </w:r>
      <w:r w:rsidR="00FD5047">
        <w:rPr>
          <w:sz w:val="24"/>
          <w:szCs w:val="24"/>
          <w:lang w:val="en-US"/>
        </w:rPr>
        <w:t>ed</w:t>
      </w:r>
      <w:r w:rsidR="008B4495" w:rsidRPr="00262611">
        <w:rPr>
          <w:sz w:val="24"/>
          <w:szCs w:val="24"/>
          <w:lang w:val="en-US"/>
        </w:rPr>
        <w:t xml:space="preserve"> over 350 complaints. </w:t>
      </w:r>
      <w:r w:rsidR="00FD5047">
        <w:rPr>
          <w:sz w:val="24"/>
          <w:szCs w:val="24"/>
          <w:lang w:val="en-US"/>
        </w:rPr>
        <w:t xml:space="preserve"> </w:t>
      </w:r>
      <w:r w:rsidR="008B4495" w:rsidRPr="00262611">
        <w:rPr>
          <w:sz w:val="24"/>
          <w:szCs w:val="24"/>
          <w:lang w:val="en-US"/>
        </w:rPr>
        <w:t xml:space="preserve">The </w:t>
      </w:r>
      <w:r w:rsidR="00FD5047">
        <w:rPr>
          <w:sz w:val="24"/>
          <w:szCs w:val="24"/>
          <w:lang w:val="en-US"/>
        </w:rPr>
        <w:t>SAHRC</w:t>
      </w:r>
      <w:r w:rsidR="00A512E7" w:rsidRPr="00262611">
        <w:rPr>
          <w:sz w:val="24"/>
          <w:szCs w:val="24"/>
          <w:lang w:val="en-US"/>
        </w:rPr>
        <w:t xml:space="preserve"> referred the hate speech complaint to the Equality Court. </w:t>
      </w:r>
      <w:r w:rsidR="00FD5047">
        <w:rPr>
          <w:sz w:val="24"/>
          <w:szCs w:val="24"/>
          <w:lang w:val="en-US"/>
        </w:rPr>
        <w:t xml:space="preserve"> </w:t>
      </w:r>
      <w:r w:rsidR="008F0F0E">
        <w:rPr>
          <w:sz w:val="24"/>
          <w:szCs w:val="24"/>
          <w:lang w:val="en-US"/>
        </w:rPr>
        <w:t>In response</w:t>
      </w:r>
      <w:r w:rsidR="00A512E7" w:rsidRPr="00262611">
        <w:rPr>
          <w:sz w:val="24"/>
          <w:szCs w:val="24"/>
          <w:lang w:val="en-US"/>
        </w:rPr>
        <w:t>,</w:t>
      </w:r>
      <w:r w:rsidR="00000ADA">
        <w:rPr>
          <w:sz w:val="24"/>
          <w:szCs w:val="24"/>
          <w:lang w:val="en-US"/>
        </w:rPr>
        <w:t xml:space="preserve"> Mr Qwelane</w:t>
      </w:r>
      <w:r w:rsidR="00A512E7" w:rsidRPr="00262611">
        <w:rPr>
          <w:sz w:val="24"/>
          <w:szCs w:val="24"/>
          <w:lang w:val="en-US"/>
        </w:rPr>
        <w:t xml:space="preserve"> instituted a constitutional challenge against section 10(1) of the Equality Act</w:t>
      </w:r>
      <w:r w:rsidR="00000ADA">
        <w:rPr>
          <w:sz w:val="24"/>
          <w:szCs w:val="24"/>
          <w:lang w:val="en-US"/>
        </w:rPr>
        <w:t>, which defines and prohibits hate speech</w:t>
      </w:r>
      <w:r w:rsidR="00A512E7" w:rsidRPr="00262611">
        <w:rPr>
          <w:sz w:val="24"/>
          <w:szCs w:val="24"/>
          <w:lang w:val="en-US"/>
        </w:rPr>
        <w:t>.</w:t>
      </w:r>
      <w:r w:rsidR="00000ADA">
        <w:rPr>
          <w:sz w:val="24"/>
          <w:szCs w:val="24"/>
          <w:lang w:val="en-US"/>
        </w:rPr>
        <w:t xml:space="preserve"> </w:t>
      </w:r>
      <w:r w:rsidR="00A512E7" w:rsidRPr="00262611">
        <w:rPr>
          <w:sz w:val="24"/>
          <w:szCs w:val="24"/>
          <w:lang w:val="en-US"/>
        </w:rPr>
        <w:t xml:space="preserve"> The proceedings were consolidated for hearing before a single </w:t>
      </w:r>
      <w:r w:rsidR="008F0F0E">
        <w:rPr>
          <w:sz w:val="24"/>
          <w:szCs w:val="24"/>
          <w:lang w:val="en-US"/>
        </w:rPr>
        <w:t>J</w:t>
      </w:r>
      <w:r w:rsidR="00A512E7" w:rsidRPr="00262611">
        <w:rPr>
          <w:sz w:val="24"/>
          <w:szCs w:val="24"/>
          <w:lang w:val="en-US"/>
        </w:rPr>
        <w:t>udge sitting as both the Equality Court and the High Court of South Africa</w:t>
      </w:r>
      <w:r w:rsidR="00C304EE" w:rsidRPr="00262611">
        <w:rPr>
          <w:sz w:val="24"/>
          <w:szCs w:val="24"/>
          <w:lang w:val="en-US"/>
        </w:rPr>
        <w:t>, Gauteng Local Division, Johannesburg (High Court).</w:t>
      </w:r>
    </w:p>
    <w:p w14:paraId="399D61F0" w14:textId="77777777" w:rsidR="00C304EE" w:rsidRPr="00262611" w:rsidRDefault="00C304EE" w:rsidP="00262611">
      <w:pPr>
        <w:spacing w:line="240" w:lineRule="auto"/>
        <w:rPr>
          <w:sz w:val="24"/>
          <w:szCs w:val="24"/>
          <w:lang w:val="en-US"/>
        </w:rPr>
      </w:pPr>
    </w:p>
    <w:p w14:paraId="65C2F72C" w14:textId="7FB2246C" w:rsidR="00C304EE" w:rsidRPr="00262611" w:rsidRDefault="00C304EE" w:rsidP="00262611">
      <w:pPr>
        <w:spacing w:line="240" w:lineRule="auto"/>
        <w:rPr>
          <w:sz w:val="24"/>
          <w:szCs w:val="24"/>
          <w:lang w:val="en-US"/>
        </w:rPr>
      </w:pPr>
      <w:r w:rsidRPr="00262611">
        <w:rPr>
          <w:sz w:val="24"/>
          <w:szCs w:val="24"/>
          <w:lang w:val="en-US"/>
        </w:rPr>
        <w:t>In the High Court, the applicant argued that section 10(1) read with sections 1, 11, and 12 of the Equality Act are too broad in that they unjustifiably limit the right to free expression.  Further, he argued that section 10(1) is impermissibly vague, especially when it is read with section 12 of the Equality Act.</w:t>
      </w:r>
    </w:p>
    <w:p w14:paraId="03913BAA" w14:textId="77777777" w:rsidR="00C304EE" w:rsidRPr="00262611" w:rsidRDefault="00C304EE" w:rsidP="00262611">
      <w:pPr>
        <w:spacing w:line="240" w:lineRule="auto"/>
        <w:rPr>
          <w:sz w:val="24"/>
          <w:szCs w:val="24"/>
          <w:lang w:val="en-US"/>
        </w:rPr>
      </w:pPr>
    </w:p>
    <w:p w14:paraId="75AA92B7" w14:textId="29D4B240" w:rsidR="00C304EE" w:rsidRPr="00262611" w:rsidRDefault="00C304EE" w:rsidP="00262611">
      <w:pPr>
        <w:spacing w:line="240" w:lineRule="auto"/>
        <w:rPr>
          <w:sz w:val="24"/>
          <w:szCs w:val="24"/>
          <w:lang w:val="en-US"/>
        </w:rPr>
      </w:pPr>
      <w:r w:rsidRPr="00262611">
        <w:rPr>
          <w:sz w:val="24"/>
          <w:szCs w:val="24"/>
          <w:lang w:val="en-US"/>
        </w:rPr>
        <w:t>The High Court dismissed</w:t>
      </w:r>
      <w:r w:rsidR="00504713" w:rsidRPr="00262611">
        <w:rPr>
          <w:sz w:val="24"/>
          <w:szCs w:val="24"/>
          <w:lang w:val="en-US"/>
        </w:rPr>
        <w:t xml:space="preserve"> the applicant’s overbreadth challenge.  It reasoned that section 10(1) of the Equality Act was not overbroad because it c</w:t>
      </w:r>
      <w:r w:rsidR="008F0F0E">
        <w:rPr>
          <w:sz w:val="24"/>
          <w:szCs w:val="24"/>
          <w:lang w:val="en-US"/>
        </w:rPr>
        <w:t>ould</w:t>
      </w:r>
      <w:r w:rsidR="00504713" w:rsidRPr="00262611">
        <w:rPr>
          <w:sz w:val="24"/>
          <w:szCs w:val="24"/>
          <w:lang w:val="en-US"/>
        </w:rPr>
        <w:t xml:space="preserve"> be read in conformity with section</w:t>
      </w:r>
      <w:r w:rsidR="008F0F0E">
        <w:rPr>
          <w:sz w:val="24"/>
          <w:szCs w:val="24"/>
          <w:lang w:val="en-US"/>
        </w:rPr>
        <w:t> </w:t>
      </w:r>
      <w:r w:rsidR="00504713" w:rsidRPr="00262611">
        <w:rPr>
          <w:sz w:val="24"/>
          <w:szCs w:val="24"/>
          <w:lang w:val="en-US"/>
        </w:rPr>
        <w:t xml:space="preserve">16(2)(c) of the Constitution, and passed the limitations test pursuant to section 36 of the Constitution. </w:t>
      </w:r>
      <w:r w:rsidR="00000ADA">
        <w:rPr>
          <w:sz w:val="24"/>
          <w:szCs w:val="24"/>
          <w:lang w:val="en-US"/>
        </w:rPr>
        <w:t xml:space="preserve"> </w:t>
      </w:r>
      <w:r w:rsidR="00504713" w:rsidRPr="00262611">
        <w:rPr>
          <w:sz w:val="24"/>
          <w:szCs w:val="24"/>
          <w:lang w:val="en-US"/>
        </w:rPr>
        <w:t>Similarly, the High Court dismissed the vagueness challenge</w:t>
      </w:r>
      <w:r w:rsidR="00000ADA">
        <w:rPr>
          <w:sz w:val="24"/>
          <w:szCs w:val="24"/>
          <w:lang w:val="en-US"/>
        </w:rPr>
        <w:t xml:space="preserve">, as </w:t>
      </w:r>
      <w:r w:rsidR="00504713" w:rsidRPr="00262611">
        <w:rPr>
          <w:sz w:val="24"/>
          <w:szCs w:val="24"/>
          <w:lang w:val="en-US"/>
        </w:rPr>
        <w:t xml:space="preserve">the proviso in section 12 qualifies section 10(1). </w:t>
      </w:r>
      <w:r w:rsidR="00000ADA">
        <w:rPr>
          <w:sz w:val="24"/>
          <w:szCs w:val="24"/>
          <w:lang w:val="en-US"/>
        </w:rPr>
        <w:t xml:space="preserve"> </w:t>
      </w:r>
      <w:r w:rsidR="000A038E">
        <w:rPr>
          <w:sz w:val="24"/>
          <w:szCs w:val="24"/>
          <w:lang w:val="en-US"/>
        </w:rPr>
        <w:t>Ultimately,</w:t>
      </w:r>
      <w:r w:rsidR="00504713" w:rsidRPr="00262611">
        <w:rPr>
          <w:sz w:val="24"/>
          <w:szCs w:val="24"/>
          <w:lang w:val="en-US"/>
        </w:rPr>
        <w:t xml:space="preserve"> </w:t>
      </w:r>
      <w:r w:rsidR="000A038E">
        <w:rPr>
          <w:sz w:val="24"/>
          <w:szCs w:val="24"/>
          <w:lang w:val="en-US"/>
        </w:rPr>
        <w:t xml:space="preserve">Mr Qwelane’s </w:t>
      </w:r>
      <w:r w:rsidR="00472751" w:rsidRPr="00262611">
        <w:rPr>
          <w:sz w:val="24"/>
          <w:szCs w:val="24"/>
          <w:lang w:val="en-US"/>
        </w:rPr>
        <w:t xml:space="preserve">statements constituted hate </w:t>
      </w:r>
      <w:r w:rsidR="00472751" w:rsidRPr="00262611">
        <w:rPr>
          <w:sz w:val="24"/>
          <w:szCs w:val="24"/>
          <w:lang w:val="en-US"/>
        </w:rPr>
        <w:lastRenderedPageBreak/>
        <w:t xml:space="preserve">speech as contemplated in section 10(1) of the Equality Act. </w:t>
      </w:r>
      <w:r w:rsidR="000A038E">
        <w:rPr>
          <w:sz w:val="24"/>
          <w:szCs w:val="24"/>
          <w:lang w:val="en-US"/>
        </w:rPr>
        <w:t xml:space="preserve"> </w:t>
      </w:r>
      <w:r w:rsidR="00472751" w:rsidRPr="00262611">
        <w:rPr>
          <w:sz w:val="24"/>
          <w:szCs w:val="24"/>
          <w:lang w:val="en-US"/>
        </w:rPr>
        <w:t>The High Court ordered that the applicant tender a written apology to the LGBTI+ community and pay the costs of proceedings.</w:t>
      </w:r>
    </w:p>
    <w:p w14:paraId="2BCB6BE5" w14:textId="77777777" w:rsidR="00472751" w:rsidRPr="00262611" w:rsidRDefault="00472751" w:rsidP="00262611">
      <w:pPr>
        <w:spacing w:line="240" w:lineRule="auto"/>
        <w:rPr>
          <w:sz w:val="24"/>
          <w:szCs w:val="24"/>
          <w:lang w:val="en-US"/>
        </w:rPr>
      </w:pPr>
    </w:p>
    <w:p w14:paraId="35F6FBF2" w14:textId="236B57E0" w:rsidR="005F4399" w:rsidRPr="00262611" w:rsidRDefault="00472751" w:rsidP="00262611">
      <w:pPr>
        <w:spacing w:line="240" w:lineRule="auto"/>
        <w:rPr>
          <w:sz w:val="24"/>
          <w:szCs w:val="24"/>
          <w:lang w:val="en-US"/>
        </w:rPr>
      </w:pPr>
      <w:r w:rsidRPr="00262611">
        <w:rPr>
          <w:sz w:val="24"/>
          <w:szCs w:val="24"/>
          <w:lang w:val="en-US"/>
        </w:rPr>
        <w:t>Discontented with the High Court</w:t>
      </w:r>
      <w:r w:rsidR="00993CA9">
        <w:rPr>
          <w:sz w:val="24"/>
          <w:szCs w:val="24"/>
          <w:lang w:val="en-US"/>
        </w:rPr>
        <w:t>’s decision</w:t>
      </w:r>
      <w:r w:rsidRPr="00262611">
        <w:rPr>
          <w:sz w:val="24"/>
          <w:szCs w:val="24"/>
          <w:lang w:val="en-US"/>
        </w:rPr>
        <w:t xml:space="preserve">, </w:t>
      </w:r>
      <w:r w:rsidR="000A038E">
        <w:rPr>
          <w:sz w:val="24"/>
          <w:szCs w:val="24"/>
          <w:lang w:val="en-US"/>
        </w:rPr>
        <w:t>Mr Qwelane appealed to the Supreme Court of Appeal</w:t>
      </w:r>
      <w:r w:rsidRPr="00262611">
        <w:rPr>
          <w:sz w:val="24"/>
          <w:szCs w:val="24"/>
          <w:lang w:val="en-US"/>
        </w:rPr>
        <w:t xml:space="preserve">. </w:t>
      </w:r>
      <w:r w:rsidR="000A038E">
        <w:rPr>
          <w:sz w:val="24"/>
          <w:szCs w:val="24"/>
          <w:lang w:val="en-US"/>
        </w:rPr>
        <w:t xml:space="preserve"> </w:t>
      </w:r>
      <w:r w:rsidRPr="00262611">
        <w:rPr>
          <w:sz w:val="24"/>
          <w:szCs w:val="24"/>
          <w:lang w:val="en-US"/>
        </w:rPr>
        <w:t xml:space="preserve">In a unanimous judgment handed down on 29 November 2019, the </w:t>
      </w:r>
      <w:r w:rsidR="000A038E">
        <w:rPr>
          <w:sz w:val="24"/>
          <w:szCs w:val="24"/>
          <w:lang w:val="en-US"/>
        </w:rPr>
        <w:t>Supreme Court of Appeal</w:t>
      </w:r>
      <w:r w:rsidRPr="00262611">
        <w:rPr>
          <w:sz w:val="24"/>
          <w:szCs w:val="24"/>
          <w:lang w:val="en-US"/>
        </w:rPr>
        <w:t xml:space="preserve"> </w:t>
      </w:r>
      <w:r w:rsidR="00C45459" w:rsidRPr="00262611">
        <w:rPr>
          <w:sz w:val="24"/>
          <w:szCs w:val="24"/>
          <w:lang w:val="en-US"/>
        </w:rPr>
        <w:t>upheld the</w:t>
      </w:r>
      <w:r w:rsidR="000A038E">
        <w:rPr>
          <w:sz w:val="24"/>
          <w:szCs w:val="24"/>
          <w:lang w:val="en-US"/>
        </w:rPr>
        <w:t xml:space="preserve"> finding on</w:t>
      </w:r>
      <w:r w:rsidR="00C45459" w:rsidRPr="00262611">
        <w:rPr>
          <w:sz w:val="24"/>
          <w:szCs w:val="24"/>
          <w:lang w:val="en-US"/>
        </w:rPr>
        <w:t xml:space="preserve"> overbreadth and </w:t>
      </w:r>
      <w:r w:rsidR="000A038E">
        <w:rPr>
          <w:sz w:val="24"/>
          <w:szCs w:val="24"/>
        </w:rPr>
        <w:t>held</w:t>
      </w:r>
      <w:r w:rsidR="00C45459" w:rsidRPr="00262611">
        <w:rPr>
          <w:sz w:val="24"/>
          <w:szCs w:val="24"/>
        </w:rPr>
        <w:t xml:space="preserve"> that the impugned section </w:t>
      </w:r>
      <w:r w:rsidR="00993CA9">
        <w:rPr>
          <w:sz w:val="24"/>
          <w:szCs w:val="24"/>
        </w:rPr>
        <w:t>was</w:t>
      </w:r>
      <w:r w:rsidR="00C45459" w:rsidRPr="00262611">
        <w:rPr>
          <w:sz w:val="24"/>
          <w:szCs w:val="24"/>
        </w:rPr>
        <w:t xml:space="preserve"> inconsistent with the provisions of section 16 of the Constitution, and </w:t>
      </w:r>
      <w:r w:rsidR="00993CA9">
        <w:rPr>
          <w:sz w:val="24"/>
          <w:szCs w:val="24"/>
        </w:rPr>
        <w:t>was</w:t>
      </w:r>
      <w:r w:rsidR="00C45459" w:rsidRPr="00262611">
        <w:rPr>
          <w:sz w:val="24"/>
          <w:szCs w:val="24"/>
        </w:rPr>
        <w:t xml:space="preserve"> therefore invalid.  </w:t>
      </w:r>
      <w:r w:rsidR="00993CA9">
        <w:rPr>
          <w:sz w:val="24"/>
          <w:szCs w:val="24"/>
        </w:rPr>
        <w:t>Aggrieved, Mr Qwelane approached the Constitutional Court.</w:t>
      </w:r>
    </w:p>
    <w:p w14:paraId="5F2C3EE4" w14:textId="77777777" w:rsidR="00472751" w:rsidRPr="00262611" w:rsidRDefault="00472751" w:rsidP="00262611">
      <w:pPr>
        <w:spacing w:line="240" w:lineRule="auto"/>
        <w:rPr>
          <w:sz w:val="24"/>
          <w:szCs w:val="24"/>
          <w:lang w:val="en-US"/>
        </w:rPr>
      </w:pPr>
    </w:p>
    <w:p w14:paraId="3F7591B6" w14:textId="18FADCCE" w:rsidR="00582390" w:rsidRPr="00262611" w:rsidRDefault="00582390" w:rsidP="00262611">
      <w:pPr>
        <w:spacing w:line="240" w:lineRule="auto"/>
        <w:rPr>
          <w:sz w:val="24"/>
          <w:szCs w:val="24"/>
        </w:rPr>
      </w:pPr>
      <w:r w:rsidRPr="00262611">
        <w:rPr>
          <w:sz w:val="24"/>
          <w:szCs w:val="24"/>
        </w:rPr>
        <w:t xml:space="preserve">In a </w:t>
      </w:r>
      <w:r w:rsidR="00993CA9">
        <w:rPr>
          <w:sz w:val="24"/>
          <w:szCs w:val="24"/>
        </w:rPr>
        <w:t>unanimous</w:t>
      </w:r>
      <w:r w:rsidR="00993CA9" w:rsidRPr="00262611">
        <w:rPr>
          <w:sz w:val="24"/>
          <w:szCs w:val="24"/>
        </w:rPr>
        <w:t xml:space="preserve"> </w:t>
      </w:r>
      <w:r w:rsidRPr="00262611">
        <w:rPr>
          <w:sz w:val="24"/>
          <w:szCs w:val="24"/>
        </w:rPr>
        <w:t xml:space="preserve">judgment penned by Majiedt J, the Constitutional Court established that the issues that arose for determination were: (a) </w:t>
      </w:r>
      <w:r w:rsidR="008F0F0E">
        <w:rPr>
          <w:sz w:val="24"/>
          <w:szCs w:val="24"/>
        </w:rPr>
        <w:t>w</w:t>
      </w:r>
      <w:r w:rsidRPr="00262611">
        <w:rPr>
          <w:sz w:val="24"/>
          <w:szCs w:val="24"/>
        </w:rPr>
        <w:t xml:space="preserve">hether the impugned provision entails a subjective or objective test; (b) </w:t>
      </w:r>
      <w:r w:rsidR="008F0F0E">
        <w:rPr>
          <w:sz w:val="24"/>
          <w:szCs w:val="24"/>
        </w:rPr>
        <w:t>w</w:t>
      </w:r>
      <w:r w:rsidRPr="00262611">
        <w:rPr>
          <w:sz w:val="24"/>
          <w:szCs w:val="24"/>
        </w:rPr>
        <w:t xml:space="preserve">hether section 10(1)(a)-(c) must be read disjunctively or conjunctively; (c) </w:t>
      </w:r>
      <w:r w:rsidR="008F0F0E">
        <w:rPr>
          <w:sz w:val="24"/>
          <w:szCs w:val="24"/>
        </w:rPr>
        <w:t>w</w:t>
      </w:r>
      <w:r w:rsidRPr="00262611">
        <w:rPr>
          <w:sz w:val="24"/>
          <w:szCs w:val="24"/>
        </w:rPr>
        <w:t xml:space="preserve">hether the impugned provision is impermissibly vague; (d) </w:t>
      </w:r>
      <w:r w:rsidR="008F0F0E">
        <w:rPr>
          <w:sz w:val="24"/>
          <w:szCs w:val="24"/>
        </w:rPr>
        <w:t>w</w:t>
      </w:r>
      <w:r w:rsidRPr="00262611">
        <w:rPr>
          <w:sz w:val="24"/>
          <w:szCs w:val="24"/>
        </w:rPr>
        <w:t>hether the impugned provision leads to an unjustifiable limitation of section 16 of the Constitution; (e)</w:t>
      </w:r>
      <w:r w:rsidR="008F0F0E">
        <w:rPr>
          <w:sz w:val="24"/>
          <w:szCs w:val="24"/>
        </w:rPr>
        <w:t> w</w:t>
      </w:r>
      <w:r w:rsidRPr="00262611">
        <w:rPr>
          <w:sz w:val="24"/>
          <w:szCs w:val="24"/>
        </w:rPr>
        <w:t>hat the appropriate remedy would be if the constitutional challenge is successful; (f)</w:t>
      </w:r>
      <w:r w:rsidRPr="00262611">
        <w:rPr>
          <w:sz w:val="24"/>
          <w:szCs w:val="24"/>
        </w:rPr>
        <w:tab/>
      </w:r>
      <w:r w:rsidR="008F0F0E">
        <w:rPr>
          <w:sz w:val="24"/>
          <w:szCs w:val="24"/>
        </w:rPr>
        <w:t>t</w:t>
      </w:r>
      <w:r w:rsidRPr="00262611">
        <w:rPr>
          <w:sz w:val="24"/>
          <w:szCs w:val="24"/>
        </w:rPr>
        <w:t>he complaint against Mr Qwelane in terms of the Equality Act; and (g)</w:t>
      </w:r>
      <w:r w:rsidR="00993CA9">
        <w:rPr>
          <w:sz w:val="24"/>
          <w:szCs w:val="24"/>
        </w:rPr>
        <w:t xml:space="preserve"> </w:t>
      </w:r>
      <w:r w:rsidR="008F0F0E">
        <w:rPr>
          <w:sz w:val="24"/>
          <w:szCs w:val="24"/>
        </w:rPr>
        <w:t>c</w:t>
      </w:r>
      <w:r w:rsidRPr="00262611">
        <w:rPr>
          <w:sz w:val="24"/>
          <w:szCs w:val="24"/>
        </w:rPr>
        <w:t>osts.</w:t>
      </w:r>
    </w:p>
    <w:p w14:paraId="1C63C7A4" w14:textId="77777777" w:rsidR="00582390" w:rsidRPr="00262611" w:rsidRDefault="00582390" w:rsidP="00262611">
      <w:pPr>
        <w:spacing w:line="240" w:lineRule="auto"/>
        <w:rPr>
          <w:sz w:val="24"/>
          <w:szCs w:val="24"/>
        </w:rPr>
      </w:pPr>
    </w:p>
    <w:p w14:paraId="3AEE8DDC" w14:textId="6A348F9E" w:rsidR="00205F15" w:rsidRPr="00262611" w:rsidRDefault="00FA47AB" w:rsidP="00262611">
      <w:pPr>
        <w:spacing w:line="240" w:lineRule="auto"/>
        <w:rPr>
          <w:sz w:val="24"/>
          <w:szCs w:val="24"/>
          <w:lang w:val="en-US"/>
        </w:rPr>
      </w:pPr>
      <w:r w:rsidRPr="00262611">
        <w:rPr>
          <w:sz w:val="24"/>
          <w:szCs w:val="24"/>
        </w:rPr>
        <w:t>I</w:t>
      </w:r>
      <w:r w:rsidR="00582390" w:rsidRPr="00262611">
        <w:rPr>
          <w:sz w:val="24"/>
          <w:szCs w:val="24"/>
        </w:rPr>
        <w:t>n dealing with the first issue</w:t>
      </w:r>
      <w:r w:rsidRPr="00262611">
        <w:rPr>
          <w:sz w:val="24"/>
          <w:szCs w:val="24"/>
        </w:rPr>
        <w:t>,</w:t>
      </w:r>
      <w:r w:rsidR="00582390" w:rsidRPr="00262611">
        <w:rPr>
          <w:sz w:val="24"/>
          <w:szCs w:val="24"/>
        </w:rPr>
        <w:t xml:space="preserve"> </w:t>
      </w:r>
      <w:r w:rsidR="003E76F6" w:rsidRPr="00262611">
        <w:rPr>
          <w:sz w:val="24"/>
          <w:szCs w:val="24"/>
        </w:rPr>
        <w:t xml:space="preserve">the Court held that section 10(1) entails </w:t>
      </w:r>
      <w:r w:rsidR="008F1EBC" w:rsidRPr="00262611">
        <w:rPr>
          <w:sz w:val="24"/>
          <w:szCs w:val="24"/>
          <w:lang w:val="en-US"/>
        </w:rPr>
        <w:t>an objective reasonable person test</w:t>
      </w:r>
      <w:r w:rsidR="00993CA9">
        <w:rPr>
          <w:sz w:val="24"/>
          <w:szCs w:val="24"/>
          <w:lang w:val="en-US"/>
        </w:rPr>
        <w:t>, thereby upholding the decision of the Equality Court in that respect.</w:t>
      </w:r>
      <w:r w:rsidR="003E76F6" w:rsidRPr="00262611">
        <w:rPr>
          <w:sz w:val="24"/>
          <w:szCs w:val="24"/>
          <w:lang w:val="en-US"/>
        </w:rPr>
        <w:t xml:space="preserve"> </w:t>
      </w:r>
      <w:r w:rsidR="0079696D" w:rsidRPr="00262611">
        <w:rPr>
          <w:sz w:val="24"/>
          <w:szCs w:val="24"/>
          <w:lang w:val="en-US"/>
        </w:rPr>
        <w:t xml:space="preserve"> </w:t>
      </w:r>
      <w:r w:rsidR="003E76F6" w:rsidRPr="00262611">
        <w:rPr>
          <w:sz w:val="24"/>
          <w:szCs w:val="24"/>
          <w:lang w:val="en-US"/>
        </w:rPr>
        <w:t xml:space="preserve">Secondly, </w:t>
      </w:r>
      <w:r w:rsidR="008F0F0E">
        <w:rPr>
          <w:sz w:val="24"/>
          <w:szCs w:val="24"/>
          <w:lang w:val="en-US"/>
        </w:rPr>
        <w:t>t</w:t>
      </w:r>
      <w:r w:rsidR="003E76F6" w:rsidRPr="00262611">
        <w:rPr>
          <w:sz w:val="24"/>
          <w:szCs w:val="24"/>
          <w:lang w:val="en-US"/>
        </w:rPr>
        <w:t xml:space="preserve">he Court found </w:t>
      </w:r>
      <w:r w:rsidR="008F1EBC" w:rsidRPr="00262611">
        <w:rPr>
          <w:sz w:val="24"/>
          <w:szCs w:val="24"/>
          <w:lang w:val="en-US"/>
        </w:rPr>
        <w:t>that the Supreme Court of Appeal erred in finding that paragraphs (a)-(c) of section 10(1) must be read disjunctively</w:t>
      </w:r>
      <w:r w:rsidR="00993CA9">
        <w:rPr>
          <w:sz w:val="24"/>
          <w:szCs w:val="24"/>
          <w:lang w:val="en-US"/>
        </w:rPr>
        <w:t>, as this would unjustifiably limit section 16 of the Constitution.</w:t>
      </w:r>
      <w:r w:rsidR="00871865" w:rsidRPr="00262611">
        <w:rPr>
          <w:sz w:val="24"/>
          <w:szCs w:val="24"/>
          <w:lang w:val="en-US"/>
        </w:rPr>
        <w:t xml:space="preserve">  </w:t>
      </w:r>
      <w:r w:rsidRPr="00262611">
        <w:rPr>
          <w:sz w:val="24"/>
          <w:szCs w:val="24"/>
          <w:lang w:val="en-US"/>
        </w:rPr>
        <w:t>Thirdly,</w:t>
      </w:r>
      <w:r w:rsidR="00993CA9">
        <w:rPr>
          <w:sz w:val="24"/>
          <w:szCs w:val="24"/>
          <w:lang w:val="en-US"/>
        </w:rPr>
        <w:t xml:space="preserve"> </w:t>
      </w:r>
      <w:r w:rsidR="00205F15" w:rsidRPr="00262611">
        <w:rPr>
          <w:sz w:val="24"/>
          <w:szCs w:val="24"/>
        </w:rPr>
        <w:t xml:space="preserve">the Court considered whether the terms “hurtful”, “harmful” and “to incite harm” are vague, as they </w:t>
      </w:r>
      <w:r w:rsidR="008F0F0E">
        <w:rPr>
          <w:sz w:val="24"/>
          <w:szCs w:val="24"/>
        </w:rPr>
        <w:t>appear</w:t>
      </w:r>
      <w:r w:rsidR="00205F15" w:rsidRPr="00262611">
        <w:rPr>
          <w:sz w:val="24"/>
          <w:szCs w:val="24"/>
        </w:rPr>
        <w:t xml:space="preserve"> in section 10</w:t>
      </w:r>
      <w:r w:rsidR="00D51C7F">
        <w:rPr>
          <w:sz w:val="24"/>
          <w:szCs w:val="24"/>
        </w:rPr>
        <w:t xml:space="preserve"> </w:t>
      </w:r>
      <w:r w:rsidRPr="00262611">
        <w:rPr>
          <w:sz w:val="24"/>
          <w:szCs w:val="24"/>
        </w:rPr>
        <w:t>of the Equality Act</w:t>
      </w:r>
      <w:r w:rsidR="00993CA9">
        <w:rPr>
          <w:sz w:val="24"/>
          <w:szCs w:val="24"/>
        </w:rPr>
        <w:t>.  It held that the term “hurtful’ is indeed vague, while the other</w:t>
      </w:r>
      <w:r w:rsidR="00BA46E0">
        <w:rPr>
          <w:sz w:val="24"/>
          <w:szCs w:val="24"/>
        </w:rPr>
        <w:t>s</w:t>
      </w:r>
      <w:r w:rsidR="00993CA9">
        <w:rPr>
          <w:sz w:val="24"/>
          <w:szCs w:val="24"/>
        </w:rPr>
        <w:t xml:space="preserve"> are not.</w:t>
      </w:r>
    </w:p>
    <w:p w14:paraId="6CC4FBFF" w14:textId="77777777" w:rsidR="00205F15" w:rsidRPr="00262611" w:rsidRDefault="00205F15" w:rsidP="00262611">
      <w:pPr>
        <w:spacing w:line="240" w:lineRule="auto"/>
        <w:rPr>
          <w:sz w:val="24"/>
          <w:szCs w:val="24"/>
        </w:rPr>
      </w:pPr>
    </w:p>
    <w:p w14:paraId="701E83EC" w14:textId="2502AC5B" w:rsidR="00AA2237" w:rsidRDefault="00FA47AB" w:rsidP="00FD5047">
      <w:pPr>
        <w:spacing w:line="240" w:lineRule="auto"/>
        <w:rPr>
          <w:sz w:val="24"/>
          <w:szCs w:val="24"/>
          <w:lang w:val="en-US"/>
        </w:rPr>
      </w:pPr>
      <w:r w:rsidRPr="00262611">
        <w:rPr>
          <w:sz w:val="24"/>
          <w:szCs w:val="24"/>
        </w:rPr>
        <w:t>The Court also</w:t>
      </w:r>
      <w:r w:rsidR="00D51C7F">
        <w:rPr>
          <w:sz w:val="24"/>
          <w:szCs w:val="24"/>
        </w:rPr>
        <w:t xml:space="preserve"> found that the inclusion of both the term “hurtful” in section 10(1) of the Equality Act</w:t>
      </w:r>
      <w:r w:rsidR="00AA2237">
        <w:rPr>
          <w:sz w:val="24"/>
          <w:szCs w:val="24"/>
        </w:rPr>
        <w:t>,</w:t>
      </w:r>
      <w:r w:rsidR="00D51C7F">
        <w:rPr>
          <w:sz w:val="24"/>
          <w:szCs w:val="24"/>
        </w:rPr>
        <w:t xml:space="preserve"> and the prohibited ground of “sexual orientation” in section 1</w:t>
      </w:r>
      <w:r w:rsidR="00AA2237">
        <w:rPr>
          <w:sz w:val="24"/>
          <w:szCs w:val="24"/>
        </w:rPr>
        <w:t>,</w:t>
      </w:r>
      <w:r w:rsidR="00D51C7F">
        <w:rPr>
          <w:sz w:val="24"/>
          <w:szCs w:val="24"/>
        </w:rPr>
        <w:t xml:space="preserve"> constitute limitations of section 16</w:t>
      </w:r>
      <w:r w:rsidR="00AA2237">
        <w:rPr>
          <w:sz w:val="24"/>
          <w:szCs w:val="24"/>
        </w:rPr>
        <w:t>(1)</w:t>
      </w:r>
      <w:r w:rsidR="00D51C7F">
        <w:rPr>
          <w:sz w:val="24"/>
          <w:szCs w:val="24"/>
        </w:rPr>
        <w:t xml:space="preserve"> of the Constitution.  Applying the test in section 36 of the Constitution, the Court held that the limitation occasioned by “hurtful” cannot be justified,</w:t>
      </w:r>
      <w:r w:rsidR="00AA2237">
        <w:rPr>
          <w:sz w:val="24"/>
          <w:szCs w:val="24"/>
        </w:rPr>
        <w:t xml:space="preserve"> and is therefore</w:t>
      </w:r>
      <w:r w:rsidR="00552EC7" w:rsidRPr="00262611">
        <w:rPr>
          <w:sz w:val="24"/>
          <w:szCs w:val="24"/>
        </w:rPr>
        <w:t xml:space="preserve"> unconstitutional.</w:t>
      </w:r>
      <w:r w:rsidRPr="00262611">
        <w:rPr>
          <w:sz w:val="24"/>
          <w:szCs w:val="24"/>
        </w:rPr>
        <w:t xml:space="preserve">  However, the </w:t>
      </w:r>
      <w:r w:rsidR="00552EC7" w:rsidRPr="00262611">
        <w:rPr>
          <w:sz w:val="24"/>
          <w:szCs w:val="24"/>
          <w:lang w:val="en-US"/>
        </w:rPr>
        <w:t xml:space="preserve">inclusion of “sexual orientation” as a prohibited ground </w:t>
      </w:r>
      <w:r w:rsidR="002300DB" w:rsidRPr="00262611">
        <w:rPr>
          <w:sz w:val="24"/>
          <w:szCs w:val="24"/>
          <w:lang w:val="en-US"/>
        </w:rPr>
        <w:t xml:space="preserve">was found </w:t>
      </w:r>
      <w:r w:rsidR="008F3786" w:rsidRPr="00262611">
        <w:rPr>
          <w:sz w:val="24"/>
          <w:szCs w:val="24"/>
          <w:lang w:val="en-US"/>
        </w:rPr>
        <w:t xml:space="preserve">to be </w:t>
      </w:r>
      <w:r w:rsidR="00552EC7" w:rsidRPr="00262611">
        <w:rPr>
          <w:sz w:val="24"/>
          <w:szCs w:val="24"/>
          <w:lang w:val="en-US"/>
        </w:rPr>
        <w:t>proportional to its purpose</w:t>
      </w:r>
      <w:r w:rsidR="00BA46E0">
        <w:rPr>
          <w:sz w:val="24"/>
          <w:szCs w:val="24"/>
          <w:lang w:val="en-US"/>
        </w:rPr>
        <w:t>.  It is</w:t>
      </w:r>
      <w:r w:rsidR="00BF743D" w:rsidRPr="00262611">
        <w:rPr>
          <w:sz w:val="24"/>
          <w:szCs w:val="24"/>
          <w:lang w:val="en-US"/>
        </w:rPr>
        <w:t xml:space="preserve"> a justifiable limitation </w:t>
      </w:r>
      <w:r w:rsidR="00BA46E0">
        <w:rPr>
          <w:sz w:val="24"/>
          <w:szCs w:val="24"/>
          <w:lang w:val="en-US"/>
        </w:rPr>
        <w:t>of</w:t>
      </w:r>
      <w:r w:rsidR="00BF743D" w:rsidRPr="00262611">
        <w:rPr>
          <w:sz w:val="24"/>
          <w:szCs w:val="24"/>
          <w:lang w:val="en-US"/>
        </w:rPr>
        <w:t xml:space="preserve"> section 16(1)</w:t>
      </w:r>
      <w:r w:rsidR="00552EC7" w:rsidRPr="00262611">
        <w:rPr>
          <w:sz w:val="24"/>
          <w:szCs w:val="24"/>
          <w:lang w:val="en-US"/>
        </w:rPr>
        <w:t xml:space="preserve">.  </w:t>
      </w:r>
      <w:r w:rsidR="008F3786" w:rsidRPr="00262611">
        <w:rPr>
          <w:sz w:val="24"/>
          <w:szCs w:val="24"/>
          <w:lang w:val="en-US"/>
        </w:rPr>
        <w:t>The Court reasoned that i</w:t>
      </w:r>
      <w:r w:rsidR="00552EC7" w:rsidRPr="00262611">
        <w:rPr>
          <w:sz w:val="24"/>
          <w:szCs w:val="24"/>
          <w:lang w:val="en-US"/>
        </w:rPr>
        <w:t>t would not be possible to protect the rights of the LGBT+ community without prohibiting hate speech based on sexual orientation.</w:t>
      </w:r>
    </w:p>
    <w:p w14:paraId="71E0F386" w14:textId="77777777" w:rsidR="00AA2237" w:rsidRDefault="00AA2237" w:rsidP="00FD5047">
      <w:pPr>
        <w:spacing w:line="240" w:lineRule="auto"/>
        <w:rPr>
          <w:sz w:val="24"/>
          <w:szCs w:val="24"/>
          <w:lang w:val="en-US"/>
        </w:rPr>
      </w:pPr>
    </w:p>
    <w:p w14:paraId="1C929AC0" w14:textId="1B0216D9" w:rsidR="00BA46E0" w:rsidRDefault="00AA2237" w:rsidP="00BA46E0">
      <w:pPr>
        <w:spacing w:line="240" w:lineRule="auto"/>
        <w:rPr>
          <w:sz w:val="24"/>
          <w:szCs w:val="24"/>
          <w:lang w:val="en-US"/>
        </w:rPr>
      </w:pPr>
      <w:r>
        <w:rPr>
          <w:sz w:val="24"/>
          <w:szCs w:val="24"/>
          <w:lang w:val="en-US"/>
        </w:rPr>
        <w:t xml:space="preserve">Therefore, section 10(1) of the Equality Act was found to be unconstitutional to the extent of the inclusion of the term “hurtful”.  The Court reasoned that the unconstitutionality could be cured through the excision of that term, </w:t>
      </w:r>
      <w:r w:rsidR="00BA46E0">
        <w:rPr>
          <w:sz w:val="24"/>
          <w:szCs w:val="24"/>
          <w:lang w:val="en-US"/>
        </w:rPr>
        <w:t xml:space="preserve">but that the declaration of constitutional invalidity should be suspended </w:t>
      </w:r>
      <w:r w:rsidR="00BA46E0" w:rsidRPr="006B061B">
        <w:rPr>
          <w:sz w:val="24"/>
          <w:szCs w:val="24"/>
        </w:rPr>
        <w:t xml:space="preserve">for 24 months to afford Parliament an opportunity to remedy the constitutional defect. </w:t>
      </w:r>
      <w:r w:rsidR="008F0F0E">
        <w:rPr>
          <w:sz w:val="24"/>
          <w:szCs w:val="24"/>
        </w:rPr>
        <w:t xml:space="preserve"> </w:t>
      </w:r>
      <w:r w:rsidR="00BA46E0" w:rsidRPr="006B061B">
        <w:rPr>
          <w:sz w:val="24"/>
          <w:szCs w:val="24"/>
        </w:rPr>
        <w:t xml:space="preserve">The Court ordered </w:t>
      </w:r>
      <w:r w:rsidR="00BA46E0">
        <w:rPr>
          <w:sz w:val="24"/>
          <w:szCs w:val="24"/>
        </w:rPr>
        <w:t>that in the interim, section 10 should be read to refer exclusively to speech that is harmful and incites hatred.</w:t>
      </w:r>
    </w:p>
    <w:p w14:paraId="3F476A67" w14:textId="77777777" w:rsidR="00BA46E0" w:rsidRDefault="00BA46E0" w:rsidP="00BA46E0">
      <w:pPr>
        <w:spacing w:line="240" w:lineRule="auto"/>
        <w:rPr>
          <w:sz w:val="24"/>
          <w:szCs w:val="24"/>
          <w:lang w:val="en-US"/>
        </w:rPr>
      </w:pPr>
    </w:p>
    <w:p w14:paraId="5F70F155" w14:textId="31C0CE19" w:rsidR="00FA47AB" w:rsidRPr="00262611" w:rsidRDefault="00BA46E0" w:rsidP="00262611">
      <w:pPr>
        <w:spacing w:line="240" w:lineRule="auto"/>
        <w:rPr>
          <w:sz w:val="24"/>
          <w:szCs w:val="24"/>
        </w:rPr>
      </w:pPr>
      <w:r>
        <w:rPr>
          <w:sz w:val="24"/>
          <w:szCs w:val="24"/>
          <w:lang w:val="en-US"/>
        </w:rPr>
        <w:t>With respect to Mr Qwelane, his</w:t>
      </w:r>
      <w:r w:rsidR="00545AC6" w:rsidRPr="00262611">
        <w:rPr>
          <w:sz w:val="24"/>
          <w:szCs w:val="24"/>
          <w:lang w:val="en-US"/>
        </w:rPr>
        <w:t xml:space="preserve"> abhorrent article was found to constitute hate speech</w:t>
      </w:r>
      <w:r w:rsidR="007E6A86" w:rsidRPr="00262611">
        <w:rPr>
          <w:sz w:val="24"/>
          <w:szCs w:val="24"/>
          <w:lang w:val="en-US"/>
        </w:rPr>
        <w:t xml:space="preserve"> </w:t>
      </w:r>
      <w:r w:rsidR="00154FF3">
        <w:rPr>
          <w:sz w:val="24"/>
          <w:szCs w:val="24"/>
          <w:lang w:val="en-US"/>
        </w:rPr>
        <w:t>in terms of the elements of section 10(1)</w:t>
      </w:r>
      <w:r>
        <w:rPr>
          <w:sz w:val="24"/>
          <w:szCs w:val="24"/>
          <w:lang w:val="en-US"/>
        </w:rPr>
        <w:t xml:space="preserve"> which remained constitutional</w:t>
      </w:r>
      <w:r w:rsidR="00154FF3">
        <w:rPr>
          <w:sz w:val="24"/>
          <w:szCs w:val="24"/>
          <w:lang w:val="en-US"/>
        </w:rPr>
        <w:t xml:space="preserve">, as it </w:t>
      </w:r>
      <w:r>
        <w:rPr>
          <w:sz w:val="24"/>
          <w:szCs w:val="24"/>
          <w:lang w:val="en-US"/>
        </w:rPr>
        <w:t>had</w:t>
      </w:r>
      <w:r w:rsidR="00154FF3">
        <w:rPr>
          <w:sz w:val="24"/>
          <w:szCs w:val="24"/>
          <w:lang w:val="en-US"/>
        </w:rPr>
        <w:t xml:space="preserve"> clearly</w:t>
      </w:r>
      <w:r>
        <w:rPr>
          <w:sz w:val="24"/>
          <w:szCs w:val="24"/>
          <w:lang w:val="en-US"/>
        </w:rPr>
        <w:t xml:space="preserve"> been</w:t>
      </w:r>
      <w:r w:rsidR="00154FF3">
        <w:rPr>
          <w:sz w:val="24"/>
          <w:szCs w:val="24"/>
          <w:lang w:val="en-US"/>
        </w:rPr>
        <w:t xml:space="preserve"> harmful and incited hatred.</w:t>
      </w:r>
      <w:r w:rsidR="00545AC6" w:rsidRPr="00262611">
        <w:rPr>
          <w:sz w:val="24"/>
          <w:szCs w:val="24"/>
          <w:lang w:val="en-US"/>
        </w:rPr>
        <w:t xml:space="preserve">  The Court reasoned that Mr Qwelane was advocating </w:t>
      </w:r>
      <w:r w:rsidR="00545AC6" w:rsidRPr="00262611">
        <w:rPr>
          <w:sz w:val="24"/>
          <w:szCs w:val="24"/>
        </w:rPr>
        <w:t>hatred</w:t>
      </w:r>
      <w:r w:rsidR="00545AC6" w:rsidRPr="00262611">
        <w:rPr>
          <w:sz w:val="24"/>
          <w:szCs w:val="24"/>
          <w:lang w:val="en-US"/>
        </w:rPr>
        <w:t>, as the article plainly constitutes detestation and vilification of homosexuals on the grounds of sexual orientation.   The Court upheld</w:t>
      </w:r>
      <w:r w:rsidR="00E00EE8">
        <w:rPr>
          <w:sz w:val="24"/>
          <w:szCs w:val="24"/>
          <w:lang w:val="en-US"/>
        </w:rPr>
        <w:t xml:space="preserve"> an amended version of</w:t>
      </w:r>
      <w:r w:rsidR="00545AC6" w:rsidRPr="00262611">
        <w:rPr>
          <w:sz w:val="24"/>
          <w:szCs w:val="24"/>
          <w:lang w:val="en-US"/>
        </w:rPr>
        <w:t xml:space="preserve"> the </w:t>
      </w:r>
      <w:r w:rsidR="00545AC6" w:rsidRPr="00262611">
        <w:rPr>
          <w:sz w:val="24"/>
          <w:szCs w:val="24"/>
        </w:rPr>
        <w:t xml:space="preserve">declaratory order </w:t>
      </w:r>
      <w:r w:rsidR="00154FF3">
        <w:rPr>
          <w:sz w:val="24"/>
          <w:szCs w:val="24"/>
        </w:rPr>
        <w:t>of</w:t>
      </w:r>
      <w:r w:rsidR="00545AC6" w:rsidRPr="00262611">
        <w:rPr>
          <w:sz w:val="24"/>
          <w:szCs w:val="24"/>
        </w:rPr>
        <w:t xml:space="preserve"> the High Court</w:t>
      </w:r>
      <w:r>
        <w:rPr>
          <w:sz w:val="24"/>
          <w:szCs w:val="24"/>
        </w:rPr>
        <w:t xml:space="preserve">, but could not </w:t>
      </w:r>
      <w:r w:rsidR="00A80106">
        <w:rPr>
          <w:sz w:val="24"/>
          <w:szCs w:val="24"/>
        </w:rPr>
        <w:t xml:space="preserve">confirm the </w:t>
      </w:r>
      <w:r>
        <w:rPr>
          <w:sz w:val="24"/>
          <w:szCs w:val="24"/>
        </w:rPr>
        <w:t>order</w:t>
      </w:r>
      <w:r w:rsidR="00720C0E">
        <w:rPr>
          <w:sz w:val="24"/>
          <w:szCs w:val="24"/>
        </w:rPr>
        <w:t>s</w:t>
      </w:r>
      <w:r>
        <w:rPr>
          <w:sz w:val="24"/>
          <w:szCs w:val="24"/>
        </w:rPr>
        <w:t xml:space="preserve"> </w:t>
      </w:r>
      <w:r w:rsidR="00A80106">
        <w:rPr>
          <w:sz w:val="24"/>
          <w:szCs w:val="24"/>
        </w:rPr>
        <w:t xml:space="preserve">relating to </w:t>
      </w:r>
      <w:r>
        <w:rPr>
          <w:sz w:val="24"/>
          <w:szCs w:val="24"/>
        </w:rPr>
        <w:t>an apology</w:t>
      </w:r>
      <w:r w:rsidR="00720C0E">
        <w:rPr>
          <w:sz w:val="24"/>
          <w:szCs w:val="24"/>
        </w:rPr>
        <w:t xml:space="preserve"> and an investigation by the Commissioner of the South African Police Service,</w:t>
      </w:r>
      <w:r>
        <w:rPr>
          <w:sz w:val="24"/>
          <w:szCs w:val="24"/>
        </w:rPr>
        <w:t xml:space="preserve"> due to the recent passing of Mr Qwelane</w:t>
      </w:r>
      <w:r w:rsidR="00A80106">
        <w:rPr>
          <w:sz w:val="24"/>
          <w:szCs w:val="24"/>
        </w:rPr>
        <w:t>.</w:t>
      </w:r>
    </w:p>
    <w:p w14:paraId="0AE73B19" w14:textId="77777777" w:rsidR="00DF0A05" w:rsidRPr="00262611" w:rsidRDefault="00DF0A05" w:rsidP="00262611">
      <w:pPr>
        <w:spacing w:line="240" w:lineRule="auto"/>
        <w:rPr>
          <w:sz w:val="24"/>
          <w:szCs w:val="24"/>
        </w:rPr>
      </w:pPr>
    </w:p>
    <w:p w14:paraId="63D2F32A" w14:textId="2C7B1E3C" w:rsidR="00C7165F" w:rsidRPr="00262611" w:rsidRDefault="00154FF3" w:rsidP="00262611">
      <w:pPr>
        <w:spacing w:line="240" w:lineRule="auto"/>
        <w:rPr>
          <w:sz w:val="24"/>
          <w:szCs w:val="24"/>
        </w:rPr>
      </w:pPr>
      <w:r>
        <w:rPr>
          <w:sz w:val="24"/>
          <w:szCs w:val="24"/>
        </w:rPr>
        <w:lastRenderedPageBreak/>
        <w:t>Finally</w:t>
      </w:r>
      <w:r w:rsidR="00060F6E" w:rsidRPr="00262611">
        <w:rPr>
          <w:sz w:val="24"/>
          <w:szCs w:val="24"/>
        </w:rPr>
        <w:t xml:space="preserve">, </w:t>
      </w:r>
      <w:r w:rsidR="00720C0E">
        <w:rPr>
          <w:sz w:val="24"/>
          <w:szCs w:val="24"/>
        </w:rPr>
        <w:t>in r</w:t>
      </w:r>
      <w:r w:rsidR="00A97347">
        <w:rPr>
          <w:sz w:val="24"/>
          <w:szCs w:val="24"/>
        </w:rPr>
        <w:t xml:space="preserve">espect of the constitutional challenge </w:t>
      </w:r>
      <w:r w:rsidR="00060F6E" w:rsidRPr="00262611">
        <w:rPr>
          <w:sz w:val="24"/>
          <w:szCs w:val="24"/>
        </w:rPr>
        <w:t xml:space="preserve">the Court </w:t>
      </w:r>
      <w:r>
        <w:rPr>
          <w:sz w:val="24"/>
          <w:szCs w:val="24"/>
        </w:rPr>
        <w:t>granted Mr Qwelane only half his costs, reasoning that while he ha</w:t>
      </w:r>
      <w:r w:rsidR="00E625D2">
        <w:rPr>
          <w:sz w:val="24"/>
          <w:szCs w:val="24"/>
        </w:rPr>
        <w:t>d</w:t>
      </w:r>
      <w:r>
        <w:rPr>
          <w:sz w:val="24"/>
          <w:szCs w:val="24"/>
        </w:rPr>
        <w:t xml:space="preserve"> been substantially successful, it was his </w:t>
      </w:r>
      <w:r w:rsidR="00A80106">
        <w:rPr>
          <w:sz w:val="24"/>
          <w:szCs w:val="24"/>
        </w:rPr>
        <w:t>reprehensible</w:t>
      </w:r>
      <w:r>
        <w:rPr>
          <w:sz w:val="24"/>
          <w:szCs w:val="24"/>
        </w:rPr>
        <w:t xml:space="preserve"> homophobic behaviour that led to this dispute. </w:t>
      </w:r>
      <w:r w:rsidR="00C7165F" w:rsidRPr="00262611">
        <w:rPr>
          <w:sz w:val="24"/>
          <w:szCs w:val="24"/>
          <w:lang w:val="en-US"/>
        </w:rPr>
        <w:t>The State</w:t>
      </w:r>
      <w:r w:rsidR="00060F6E" w:rsidRPr="00262611">
        <w:rPr>
          <w:sz w:val="24"/>
          <w:szCs w:val="24"/>
          <w:lang w:val="en-US"/>
        </w:rPr>
        <w:t xml:space="preserve"> was ordered to pay th</w:t>
      </w:r>
      <w:r w:rsidR="00BA46E0">
        <w:rPr>
          <w:sz w:val="24"/>
          <w:szCs w:val="24"/>
          <w:lang w:val="en-US"/>
        </w:rPr>
        <w:t>e</w:t>
      </w:r>
      <w:r w:rsidR="00060F6E" w:rsidRPr="00262611">
        <w:rPr>
          <w:sz w:val="24"/>
          <w:szCs w:val="24"/>
          <w:lang w:val="en-US"/>
        </w:rPr>
        <w:t xml:space="preserve">se costs.  </w:t>
      </w:r>
      <w:r w:rsidR="00C7165F" w:rsidRPr="00262611">
        <w:rPr>
          <w:sz w:val="24"/>
          <w:szCs w:val="24"/>
          <w:lang w:val="en-US"/>
        </w:rPr>
        <w:t xml:space="preserve">Given </w:t>
      </w:r>
      <w:r w:rsidR="0079696D" w:rsidRPr="00262611">
        <w:rPr>
          <w:sz w:val="24"/>
          <w:szCs w:val="24"/>
          <w:lang w:val="en-US"/>
        </w:rPr>
        <w:t>the constitutionally mandated role of the SAHRC</w:t>
      </w:r>
      <w:r w:rsidR="00C7165F" w:rsidRPr="00262611">
        <w:rPr>
          <w:sz w:val="24"/>
          <w:szCs w:val="24"/>
          <w:lang w:val="en-US"/>
        </w:rPr>
        <w:t xml:space="preserve">, </w:t>
      </w:r>
      <w:r w:rsidR="0079696D" w:rsidRPr="00262611">
        <w:rPr>
          <w:sz w:val="24"/>
          <w:szCs w:val="24"/>
          <w:lang w:val="en-US"/>
        </w:rPr>
        <w:t xml:space="preserve">the Court found that </w:t>
      </w:r>
      <w:r w:rsidR="00C7165F" w:rsidRPr="00262611">
        <w:rPr>
          <w:sz w:val="24"/>
          <w:szCs w:val="24"/>
          <w:lang w:val="en-US"/>
        </w:rPr>
        <w:t xml:space="preserve">a costs order against the SAHRC </w:t>
      </w:r>
      <w:r w:rsidR="0033587D">
        <w:rPr>
          <w:sz w:val="24"/>
          <w:szCs w:val="24"/>
          <w:lang w:val="en-US"/>
        </w:rPr>
        <w:t>was</w:t>
      </w:r>
      <w:r w:rsidR="00C7165F" w:rsidRPr="00262611">
        <w:rPr>
          <w:sz w:val="24"/>
          <w:szCs w:val="24"/>
          <w:lang w:val="en-US"/>
        </w:rPr>
        <w:t xml:space="preserve"> not appropriate</w:t>
      </w:r>
      <w:r w:rsidR="00A97347">
        <w:rPr>
          <w:sz w:val="24"/>
          <w:szCs w:val="24"/>
          <w:lang w:val="en-US"/>
        </w:rPr>
        <w:t>, and ordered that Mr Qwelane should pay their costs in the High Court, the Supreme Court of Appeal and the Constitutional Court.</w:t>
      </w:r>
    </w:p>
    <w:p w14:paraId="2EC77E3B" w14:textId="77777777" w:rsidR="008F3786" w:rsidRPr="00262611" w:rsidRDefault="008F3786" w:rsidP="00262611">
      <w:pPr>
        <w:spacing w:line="240" w:lineRule="auto"/>
        <w:rPr>
          <w:sz w:val="24"/>
          <w:szCs w:val="24"/>
        </w:rPr>
      </w:pPr>
    </w:p>
    <w:p w14:paraId="36426D75" w14:textId="77777777" w:rsidR="00286DF1" w:rsidRPr="00262611" w:rsidRDefault="00286DF1">
      <w:pPr>
        <w:spacing w:line="240" w:lineRule="auto"/>
        <w:rPr>
          <w:sz w:val="24"/>
          <w:szCs w:val="24"/>
        </w:rPr>
        <w:sectPr w:rsidR="00286DF1" w:rsidRPr="00262611" w:rsidSect="000F7521">
          <w:headerReference w:type="default" r:id="rId9"/>
          <w:type w:val="continuous"/>
          <w:pgSz w:w="11907" w:h="16839" w:code="9"/>
          <w:pgMar w:top="1440" w:right="1440" w:bottom="1440" w:left="1440" w:header="708" w:footer="708" w:gutter="0"/>
          <w:cols w:space="708"/>
          <w:titlePg/>
          <w:docGrid w:linePitch="360"/>
        </w:sectPr>
      </w:pPr>
    </w:p>
    <w:bookmarkEnd w:id="0"/>
    <w:p w14:paraId="6F44B128" w14:textId="77777777" w:rsidR="00860C4E" w:rsidRPr="00262611" w:rsidRDefault="00860C4E" w:rsidP="008F0F0E">
      <w:pPr>
        <w:spacing w:line="240" w:lineRule="auto"/>
        <w:rPr>
          <w:sz w:val="24"/>
          <w:szCs w:val="24"/>
        </w:rPr>
      </w:pPr>
    </w:p>
    <w:sectPr w:rsidR="00860C4E" w:rsidRPr="00262611" w:rsidSect="009559B5">
      <w:headerReference w:type="default" r:id="rId10"/>
      <w:footerReference w:type="default" r:id="rId11"/>
      <w:type w:val="continuous"/>
      <w:pgSz w:w="11907" w:h="16839" w:code="9"/>
      <w:pgMar w:top="1440" w:right="1440" w:bottom="1440" w:left="1440" w:header="708" w:footer="708" w:gutter="0"/>
      <w:pgNumType w:start="1"/>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C487C" w16cex:dateUtc="2021-07-28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15D7D4" w16cid:durableId="24AC48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D8140" w14:textId="77777777" w:rsidR="00FD2480" w:rsidRDefault="00FD2480" w:rsidP="00E4607C">
      <w:pPr>
        <w:spacing w:line="240" w:lineRule="auto"/>
      </w:pPr>
      <w:r>
        <w:separator/>
      </w:r>
    </w:p>
  </w:endnote>
  <w:endnote w:type="continuationSeparator" w:id="0">
    <w:p w14:paraId="1F7ACBBF" w14:textId="77777777" w:rsidR="00FD2480" w:rsidRDefault="00FD2480" w:rsidP="00E46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8C725" w14:textId="77777777" w:rsidR="0087217E" w:rsidRDefault="0087217E" w:rsidP="0087217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0999A" w14:textId="77777777" w:rsidR="00FD2480" w:rsidRDefault="00FD2480" w:rsidP="00E4607C">
      <w:pPr>
        <w:spacing w:line="240" w:lineRule="auto"/>
      </w:pPr>
      <w:r>
        <w:separator/>
      </w:r>
    </w:p>
  </w:footnote>
  <w:footnote w:type="continuationSeparator" w:id="0">
    <w:p w14:paraId="7023F3AF" w14:textId="77777777" w:rsidR="00FD2480" w:rsidRDefault="00FD2480" w:rsidP="00E460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6BF56" w14:textId="4B2DF020" w:rsidR="00CB0CB2" w:rsidRDefault="00CB0CB2" w:rsidP="000F7521">
    <w:pPr>
      <w:pStyle w:val="Header"/>
      <w:tabs>
        <w:tab w:val="clear" w:pos="4680"/>
        <w:tab w:val="clear" w:pos="9360"/>
        <w:tab w:val="right" w:pos="9072"/>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21288" w14:textId="77777777" w:rsidR="0087217E" w:rsidRDefault="0087217E" w:rsidP="008C727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A7A26"/>
    <w:multiLevelType w:val="hybridMultilevel"/>
    <w:tmpl w:val="C30AD0BA"/>
    <w:lvl w:ilvl="0" w:tplc="0CD23EA0">
      <w:start w:val="1"/>
      <w:numFmt w:val="decimal"/>
      <w:pStyle w:val="JUDGMENTNUMBERED"/>
      <w:lvlText w:val="[%1]"/>
      <w:lvlJc w:val="left"/>
      <w:pPr>
        <w:ind w:left="104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B06ED"/>
    <w:multiLevelType w:val="hybridMultilevel"/>
    <w:tmpl w:val="6D4C64E6"/>
    <w:lvl w:ilvl="0" w:tplc="28A83CF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61D13BD"/>
    <w:multiLevelType w:val="multilevel"/>
    <w:tmpl w:val="92D0E282"/>
    <w:lvl w:ilvl="0">
      <w:start w:val="1"/>
      <w:numFmt w:val="decimal"/>
      <w:lvlText w:val="[%1]"/>
      <w:lvlJc w:val="left"/>
      <w:pPr>
        <w:tabs>
          <w:tab w:val="num" w:pos="68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1"/>
  </w:num>
  <w:num w:numId="12">
    <w:abstractNumId w:val="1"/>
    <w:lvlOverride w:ilvl="0">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F3"/>
    <w:rsid w:val="00000ADA"/>
    <w:rsid w:val="00002924"/>
    <w:rsid w:val="00003278"/>
    <w:rsid w:val="00021B45"/>
    <w:rsid w:val="0003222E"/>
    <w:rsid w:val="0003332C"/>
    <w:rsid w:val="0003374F"/>
    <w:rsid w:val="000539DA"/>
    <w:rsid w:val="000570BC"/>
    <w:rsid w:val="00060F6E"/>
    <w:rsid w:val="000704F2"/>
    <w:rsid w:val="0007628C"/>
    <w:rsid w:val="0008371B"/>
    <w:rsid w:val="00095A15"/>
    <w:rsid w:val="000A038E"/>
    <w:rsid w:val="000B0C92"/>
    <w:rsid w:val="000B22E6"/>
    <w:rsid w:val="000C38CF"/>
    <w:rsid w:val="000F7521"/>
    <w:rsid w:val="001016AC"/>
    <w:rsid w:val="00114DD0"/>
    <w:rsid w:val="00114E92"/>
    <w:rsid w:val="00117345"/>
    <w:rsid w:val="00144DE3"/>
    <w:rsid w:val="00145730"/>
    <w:rsid w:val="00154FF3"/>
    <w:rsid w:val="001611B1"/>
    <w:rsid w:val="00174981"/>
    <w:rsid w:val="00183FC9"/>
    <w:rsid w:val="001927E9"/>
    <w:rsid w:val="00194B9C"/>
    <w:rsid w:val="0019531C"/>
    <w:rsid w:val="001B4C29"/>
    <w:rsid w:val="001C050A"/>
    <w:rsid w:val="001D31D7"/>
    <w:rsid w:val="00205F15"/>
    <w:rsid w:val="002146D9"/>
    <w:rsid w:val="002208F2"/>
    <w:rsid w:val="002300DB"/>
    <w:rsid w:val="00232B8F"/>
    <w:rsid w:val="00236F9A"/>
    <w:rsid w:val="00240F87"/>
    <w:rsid w:val="0024725F"/>
    <w:rsid w:val="00262611"/>
    <w:rsid w:val="002650E7"/>
    <w:rsid w:val="00286DF1"/>
    <w:rsid w:val="00287753"/>
    <w:rsid w:val="00295C91"/>
    <w:rsid w:val="002C5F97"/>
    <w:rsid w:val="002C7AC5"/>
    <w:rsid w:val="002D1FD9"/>
    <w:rsid w:val="002D6E04"/>
    <w:rsid w:val="002E1AA1"/>
    <w:rsid w:val="002E4857"/>
    <w:rsid w:val="002F6A17"/>
    <w:rsid w:val="00326649"/>
    <w:rsid w:val="003323B3"/>
    <w:rsid w:val="0033587D"/>
    <w:rsid w:val="00341131"/>
    <w:rsid w:val="00346927"/>
    <w:rsid w:val="003644DF"/>
    <w:rsid w:val="003649E0"/>
    <w:rsid w:val="00366550"/>
    <w:rsid w:val="00381E96"/>
    <w:rsid w:val="003837F4"/>
    <w:rsid w:val="00386F56"/>
    <w:rsid w:val="00386FCB"/>
    <w:rsid w:val="003A18CF"/>
    <w:rsid w:val="003A3C4A"/>
    <w:rsid w:val="003A3E5C"/>
    <w:rsid w:val="003B12C2"/>
    <w:rsid w:val="003C5CF6"/>
    <w:rsid w:val="003C7B6C"/>
    <w:rsid w:val="003E76F6"/>
    <w:rsid w:val="004066CD"/>
    <w:rsid w:val="00407ACD"/>
    <w:rsid w:val="004110F6"/>
    <w:rsid w:val="00432ABF"/>
    <w:rsid w:val="0044313C"/>
    <w:rsid w:val="0044789D"/>
    <w:rsid w:val="0046182E"/>
    <w:rsid w:val="004620BF"/>
    <w:rsid w:val="00472751"/>
    <w:rsid w:val="00490E0E"/>
    <w:rsid w:val="004A14DE"/>
    <w:rsid w:val="004C7588"/>
    <w:rsid w:val="004D02BA"/>
    <w:rsid w:val="004D338B"/>
    <w:rsid w:val="004D3AD0"/>
    <w:rsid w:val="004E00EA"/>
    <w:rsid w:val="004E3677"/>
    <w:rsid w:val="00503030"/>
    <w:rsid w:val="00504713"/>
    <w:rsid w:val="0052443E"/>
    <w:rsid w:val="00526CE6"/>
    <w:rsid w:val="005314E0"/>
    <w:rsid w:val="00533037"/>
    <w:rsid w:val="00535E74"/>
    <w:rsid w:val="00542F53"/>
    <w:rsid w:val="00545AC6"/>
    <w:rsid w:val="00552EC7"/>
    <w:rsid w:val="005627D3"/>
    <w:rsid w:val="0056742C"/>
    <w:rsid w:val="00582390"/>
    <w:rsid w:val="00590B22"/>
    <w:rsid w:val="005E07C7"/>
    <w:rsid w:val="005F25A8"/>
    <w:rsid w:val="005F4399"/>
    <w:rsid w:val="00601A88"/>
    <w:rsid w:val="00657B43"/>
    <w:rsid w:val="0067159E"/>
    <w:rsid w:val="006724E0"/>
    <w:rsid w:val="0067644D"/>
    <w:rsid w:val="006A0EBD"/>
    <w:rsid w:val="006A383F"/>
    <w:rsid w:val="006A6304"/>
    <w:rsid w:val="006B5954"/>
    <w:rsid w:val="006D21A9"/>
    <w:rsid w:val="006E3711"/>
    <w:rsid w:val="007038B4"/>
    <w:rsid w:val="00707C78"/>
    <w:rsid w:val="00720C0E"/>
    <w:rsid w:val="00730113"/>
    <w:rsid w:val="007410F3"/>
    <w:rsid w:val="007459C4"/>
    <w:rsid w:val="0074753B"/>
    <w:rsid w:val="00793F89"/>
    <w:rsid w:val="007947C8"/>
    <w:rsid w:val="0079696D"/>
    <w:rsid w:val="007B5814"/>
    <w:rsid w:val="007C2FC8"/>
    <w:rsid w:val="007C4840"/>
    <w:rsid w:val="007E403C"/>
    <w:rsid w:val="007E6A86"/>
    <w:rsid w:val="00807A5D"/>
    <w:rsid w:val="008226CC"/>
    <w:rsid w:val="00834803"/>
    <w:rsid w:val="00835490"/>
    <w:rsid w:val="00842678"/>
    <w:rsid w:val="00851D8D"/>
    <w:rsid w:val="00860C4E"/>
    <w:rsid w:val="00871865"/>
    <w:rsid w:val="0087217E"/>
    <w:rsid w:val="00880CCF"/>
    <w:rsid w:val="00893F46"/>
    <w:rsid w:val="00897B62"/>
    <w:rsid w:val="008A65D2"/>
    <w:rsid w:val="008B1882"/>
    <w:rsid w:val="008B4495"/>
    <w:rsid w:val="008C727F"/>
    <w:rsid w:val="008E31EF"/>
    <w:rsid w:val="008E562C"/>
    <w:rsid w:val="008F0F0E"/>
    <w:rsid w:val="008F1AED"/>
    <w:rsid w:val="008F1EBC"/>
    <w:rsid w:val="008F3786"/>
    <w:rsid w:val="00911782"/>
    <w:rsid w:val="00937742"/>
    <w:rsid w:val="00940A0D"/>
    <w:rsid w:val="009559B5"/>
    <w:rsid w:val="00957274"/>
    <w:rsid w:val="0098219B"/>
    <w:rsid w:val="00987555"/>
    <w:rsid w:val="00987B57"/>
    <w:rsid w:val="00993CA9"/>
    <w:rsid w:val="009C3888"/>
    <w:rsid w:val="009E12A3"/>
    <w:rsid w:val="009E1376"/>
    <w:rsid w:val="00A203C4"/>
    <w:rsid w:val="00A3449D"/>
    <w:rsid w:val="00A35CE0"/>
    <w:rsid w:val="00A512E7"/>
    <w:rsid w:val="00A80106"/>
    <w:rsid w:val="00A81C1D"/>
    <w:rsid w:val="00A97332"/>
    <w:rsid w:val="00A97347"/>
    <w:rsid w:val="00A97650"/>
    <w:rsid w:val="00AA1CFE"/>
    <w:rsid w:val="00AA2237"/>
    <w:rsid w:val="00AA6755"/>
    <w:rsid w:val="00AD2D1A"/>
    <w:rsid w:val="00AD35F4"/>
    <w:rsid w:val="00AE1728"/>
    <w:rsid w:val="00AE7143"/>
    <w:rsid w:val="00AE7602"/>
    <w:rsid w:val="00B22DCF"/>
    <w:rsid w:val="00B31462"/>
    <w:rsid w:val="00B32AB4"/>
    <w:rsid w:val="00B64ADD"/>
    <w:rsid w:val="00B7017B"/>
    <w:rsid w:val="00B81F77"/>
    <w:rsid w:val="00B8590B"/>
    <w:rsid w:val="00B91F1A"/>
    <w:rsid w:val="00B97ED9"/>
    <w:rsid w:val="00BA3BEF"/>
    <w:rsid w:val="00BA46E0"/>
    <w:rsid w:val="00BB0654"/>
    <w:rsid w:val="00BB312F"/>
    <w:rsid w:val="00BB36C9"/>
    <w:rsid w:val="00BC231D"/>
    <w:rsid w:val="00BD0174"/>
    <w:rsid w:val="00BE700A"/>
    <w:rsid w:val="00BF3824"/>
    <w:rsid w:val="00BF743D"/>
    <w:rsid w:val="00C066B6"/>
    <w:rsid w:val="00C06D64"/>
    <w:rsid w:val="00C304EE"/>
    <w:rsid w:val="00C332FC"/>
    <w:rsid w:val="00C44207"/>
    <w:rsid w:val="00C45459"/>
    <w:rsid w:val="00C51413"/>
    <w:rsid w:val="00C6034D"/>
    <w:rsid w:val="00C63EC7"/>
    <w:rsid w:val="00C67D73"/>
    <w:rsid w:val="00C7165F"/>
    <w:rsid w:val="00C739DB"/>
    <w:rsid w:val="00C74761"/>
    <w:rsid w:val="00C95D7C"/>
    <w:rsid w:val="00CA3BF8"/>
    <w:rsid w:val="00CA6ACC"/>
    <w:rsid w:val="00CB0CB2"/>
    <w:rsid w:val="00CB63EA"/>
    <w:rsid w:val="00CC158D"/>
    <w:rsid w:val="00CC301A"/>
    <w:rsid w:val="00CC38E6"/>
    <w:rsid w:val="00CC6FCA"/>
    <w:rsid w:val="00CE5F9F"/>
    <w:rsid w:val="00CF0044"/>
    <w:rsid w:val="00D033C4"/>
    <w:rsid w:val="00D51C7F"/>
    <w:rsid w:val="00D76A1F"/>
    <w:rsid w:val="00DA7CDD"/>
    <w:rsid w:val="00DB3839"/>
    <w:rsid w:val="00DB3FC8"/>
    <w:rsid w:val="00DB4070"/>
    <w:rsid w:val="00DE7926"/>
    <w:rsid w:val="00DE7E61"/>
    <w:rsid w:val="00DF0A05"/>
    <w:rsid w:val="00E00EE8"/>
    <w:rsid w:val="00E12D4B"/>
    <w:rsid w:val="00E210D3"/>
    <w:rsid w:val="00E230D7"/>
    <w:rsid w:val="00E45515"/>
    <w:rsid w:val="00E4607C"/>
    <w:rsid w:val="00E4636A"/>
    <w:rsid w:val="00E51128"/>
    <w:rsid w:val="00E625D2"/>
    <w:rsid w:val="00E63C65"/>
    <w:rsid w:val="00E70761"/>
    <w:rsid w:val="00E93A1B"/>
    <w:rsid w:val="00EC6C7B"/>
    <w:rsid w:val="00ED0FE3"/>
    <w:rsid w:val="00EE48F3"/>
    <w:rsid w:val="00F008DA"/>
    <w:rsid w:val="00F06DB6"/>
    <w:rsid w:val="00F12F57"/>
    <w:rsid w:val="00F245CE"/>
    <w:rsid w:val="00F35D54"/>
    <w:rsid w:val="00F44521"/>
    <w:rsid w:val="00F44B61"/>
    <w:rsid w:val="00F45DC4"/>
    <w:rsid w:val="00F46149"/>
    <w:rsid w:val="00F549F8"/>
    <w:rsid w:val="00F76D30"/>
    <w:rsid w:val="00F8303E"/>
    <w:rsid w:val="00FA47AB"/>
    <w:rsid w:val="00FD2480"/>
    <w:rsid w:val="00FD5047"/>
    <w:rsid w:val="00FE6B1B"/>
    <w:rsid w:val="00FF68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0EB6D"/>
  <w15:docId w15:val="{071B9A71-3C1E-42EA-8372-D11A991E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EC7"/>
    <w:pPr>
      <w:spacing w:line="480" w:lineRule="auto"/>
      <w:jc w:val="both"/>
    </w:pPr>
    <w:rPr>
      <w:rFonts w:ascii="Times New Roman" w:hAnsi="Times New Roman"/>
      <w:sz w:val="26"/>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GMENTNUMBERED">
    <w:name w:val="JUDGMENT NUMBERED"/>
    <w:basedOn w:val="Normal"/>
    <w:next w:val="JUDGMENTCONTINUED"/>
    <w:link w:val="JUDGMENTNUMBEREDChar"/>
    <w:qFormat/>
    <w:rsid w:val="00C63EC7"/>
    <w:pPr>
      <w:numPr>
        <w:numId w:val="1"/>
      </w:numPr>
      <w:spacing w:line="360" w:lineRule="auto"/>
      <w:ind w:left="0" w:firstLine="0"/>
    </w:pPr>
  </w:style>
  <w:style w:type="paragraph" w:customStyle="1" w:styleId="JUDGMENTCONTINUED">
    <w:name w:val="JUDGMENT CONTINUED"/>
    <w:basedOn w:val="JUDGMENTNUMBERED"/>
    <w:next w:val="JUDGMENTNUMBERED"/>
    <w:qFormat/>
    <w:rsid w:val="00C63EC7"/>
    <w:pPr>
      <w:numPr>
        <w:numId w:val="0"/>
      </w:numPr>
    </w:pPr>
  </w:style>
  <w:style w:type="paragraph" w:customStyle="1" w:styleId="QUOTATION">
    <w:name w:val="QUOTATION"/>
    <w:basedOn w:val="Normal"/>
    <w:next w:val="JUDGMENTCONTINUED"/>
    <w:qFormat/>
    <w:rsid w:val="00C63EC7"/>
    <w:pPr>
      <w:spacing w:line="360" w:lineRule="auto"/>
      <w:ind w:left="720" w:right="720"/>
    </w:pPr>
    <w:rPr>
      <w:sz w:val="22"/>
    </w:rPr>
  </w:style>
  <w:style w:type="paragraph" w:customStyle="1" w:styleId="QUOTEINQUOTE">
    <w:name w:val="QUOTE IN QUOTE"/>
    <w:basedOn w:val="QUOTATION"/>
    <w:next w:val="QUOTATION"/>
    <w:qFormat/>
    <w:rsid w:val="00C63EC7"/>
    <w:pPr>
      <w:ind w:left="1440" w:right="1440"/>
    </w:pPr>
  </w:style>
  <w:style w:type="paragraph" w:customStyle="1" w:styleId="FootnoteText1">
    <w:name w:val="Footnote Text1"/>
    <w:basedOn w:val="Normal"/>
    <w:qFormat/>
    <w:rsid w:val="00C63EC7"/>
    <w:pPr>
      <w:spacing w:after="120" w:line="240" w:lineRule="auto"/>
    </w:pPr>
    <w:rPr>
      <w:sz w:val="20"/>
    </w:rPr>
  </w:style>
  <w:style w:type="paragraph" w:styleId="ListParagraph">
    <w:name w:val="List Paragraph"/>
    <w:basedOn w:val="Normal"/>
    <w:uiPriority w:val="34"/>
    <w:semiHidden/>
    <w:qFormat/>
    <w:rsid w:val="00C63EC7"/>
    <w:pPr>
      <w:ind w:left="720"/>
      <w:contextualSpacing/>
    </w:pPr>
  </w:style>
  <w:style w:type="paragraph" w:styleId="FootnoteText">
    <w:name w:val="footnote text"/>
    <w:aliases w:val="Footnote Text Char1,Footnote Text Char Char,Footnote Text Char1 Char Char,Footnote Text Char Char Char Char Char,Footnote Text Char Char1 Char Char,(NECG) Footnote Text,ALTS FOOTNOTE,AR Footnote Text,Footnote text Char,Car,Char Ch"/>
    <w:basedOn w:val="FootnoteText1"/>
    <w:link w:val="FootnoteTextChar"/>
    <w:unhideWhenUsed/>
    <w:qFormat/>
    <w:rsid w:val="00CB63EA"/>
  </w:style>
  <w:style w:type="character" w:customStyle="1" w:styleId="FootnoteTextChar">
    <w:name w:val="Footnote Text Char"/>
    <w:aliases w:val="Footnote Text Char1 Char,Footnote Text Char Char Char,Footnote Text Char1 Char Char Char,Footnote Text Char Char Char Char Char Char,Footnote Text Char Char1 Char Char Char,(NECG) Footnote Text Char,ALTS FOOTNOTE Char,Car Char"/>
    <w:basedOn w:val="DefaultParagraphFont"/>
    <w:link w:val="FootnoteText"/>
    <w:rsid w:val="00CB63EA"/>
    <w:rPr>
      <w:rFonts w:ascii="Times New Roman" w:hAnsi="Times New Roman"/>
      <w:szCs w:val="22"/>
      <w:lang w:val="en-ZA"/>
    </w:rPr>
  </w:style>
  <w:style w:type="character" w:styleId="FootnoteReference">
    <w:name w:val="footnote reference"/>
    <w:aliases w:val="Ref,de nota al pie,註腳內容,Footnotes refss,Appel note de bas de page,(NECG) Footnote Reference,fr,Footnote Reference + Superscript,Footnote Reference Superscript,Footnote Reference in text,Footnote symbol,Style 12,o,Style 4,Footnote"/>
    <w:basedOn w:val="DefaultParagraphFont"/>
    <w:unhideWhenUsed/>
    <w:qFormat/>
    <w:rsid w:val="00E4607C"/>
    <w:rPr>
      <w:vertAlign w:val="superscript"/>
    </w:rPr>
  </w:style>
  <w:style w:type="paragraph" w:customStyle="1" w:styleId="QUOTEINFOOTNOTE">
    <w:name w:val="QUOTE IN FOOTNOTE"/>
    <w:basedOn w:val="FootnoteText1"/>
    <w:next w:val="FootnoteText1"/>
    <w:qFormat/>
    <w:rsid w:val="00C63EC7"/>
    <w:pPr>
      <w:ind w:left="720" w:right="720"/>
    </w:pPr>
  </w:style>
  <w:style w:type="paragraph" w:styleId="Header">
    <w:name w:val="header"/>
    <w:basedOn w:val="Normal"/>
    <w:link w:val="HeaderChar"/>
    <w:unhideWhenUsed/>
    <w:rsid w:val="008C727F"/>
    <w:pPr>
      <w:tabs>
        <w:tab w:val="center" w:pos="4680"/>
        <w:tab w:val="right" w:pos="9360"/>
      </w:tabs>
      <w:spacing w:line="240" w:lineRule="auto"/>
    </w:pPr>
  </w:style>
  <w:style w:type="character" w:customStyle="1" w:styleId="HeaderChar">
    <w:name w:val="Header Char"/>
    <w:basedOn w:val="DefaultParagraphFont"/>
    <w:link w:val="Header"/>
    <w:uiPriority w:val="99"/>
    <w:rsid w:val="008C727F"/>
    <w:rPr>
      <w:rFonts w:ascii="Times New Roman" w:hAnsi="Times New Roman"/>
      <w:sz w:val="26"/>
    </w:rPr>
  </w:style>
  <w:style w:type="paragraph" w:styleId="Footer">
    <w:name w:val="footer"/>
    <w:basedOn w:val="Normal"/>
    <w:link w:val="FooterChar"/>
    <w:unhideWhenUsed/>
    <w:rsid w:val="008C727F"/>
    <w:pPr>
      <w:tabs>
        <w:tab w:val="center" w:pos="4680"/>
        <w:tab w:val="right" w:pos="9360"/>
      </w:tabs>
      <w:spacing w:line="240" w:lineRule="auto"/>
    </w:pPr>
  </w:style>
  <w:style w:type="character" w:customStyle="1" w:styleId="FooterChar">
    <w:name w:val="Footer Char"/>
    <w:basedOn w:val="DefaultParagraphFont"/>
    <w:link w:val="Footer"/>
    <w:uiPriority w:val="99"/>
    <w:rsid w:val="008C727F"/>
    <w:rPr>
      <w:rFonts w:ascii="Times New Roman" w:hAnsi="Times New Roman"/>
      <w:sz w:val="26"/>
    </w:rPr>
  </w:style>
  <w:style w:type="paragraph" w:styleId="BalloonText">
    <w:name w:val="Balloon Text"/>
    <w:basedOn w:val="Normal"/>
    <w:link w:val="BalloonTextChar"/>
    <w:uiPriority w:val="99"/>
    <w:semiHidden/>
    <w:unhideWhenUsed/>
    <w:rsid w:val="008C72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27F"/>
    <w:rPr>
      <w:rFonts w:ascii="Tahoma" w:hAnsi="Tahoma" w:cs="Tahoma"/>
      <w:sz w:val="16"/>
      <w:szCs w:val="16"/>
    </w:rPr>
  </w:style>
  <w:style w:type="paragraph" w:styleId="DocumentMap">
    <w:name w:val="Document Map"/>
    <w:basedOn w:val="Normal"/>
    <w:link w:val="DocumentMapChar"/>
    <w:semiHidden/>
    <w:rsid w:val="00860C4E"/>
    <w:pPr>
      <w:shd w:val="clear" w:color="auto" w:fill="000080"/>
      <w:spacing w:line="240" w:lineRule="auto"/>
    </w:pPr>
    <w:rPr>
      <w:rFonts w:ascii="Tahoma" w:eastAsia="Times New Roman" w:hAnsi="Tahoma" w:cs="Tahoma"/>
      <w:szCs w:val="24"/>
      <w:lang w:eastAsia="en-ZA"/>
    </w:rPr>
  </w:style>
  <w:style w:type="character" w:customStyle="1" w:styleId="DocumentMapChar">
    <w:name w:val="Document Map Char"/>
    <w:basedOn w:val="DefaultParagraphFont"/>
    <w:link w:val="DocumentMap"/>
    <w:semiHidden/>
    <w:rsid w:val="00860C4E"/>
    <w:rPr>
      <w:rFonts w:ascii="Tahoma" w:eastAsia="Times New Roman" w:hAnsi="Tahoma" w:cs="Tahoma"/>
      <w:sz w:val="26"/>
      <w:szCs w:val="24"/>
      <w:shd w:val="clear" w:color="auto" w:fill="000080"/>
      <w:lang w:val="en-ZA" w:eastAsia="en-ZA"/>
    </w:rPr>
  </w:style>
  <w:style w:type="character" w:styleId="PageNumber">
    <w:name w:val="page number"/>
    <w:basedOn w:val="DefaultParagraphFont"/>
    <w:rsid w:val="00860C4E"/>
  </w:style>
  <w:style w:type="paragraph" w:customStyle="1" w:styleId="List1">
    <w:name w:val="List1"/>
    <w:basedOn w:val="JUDGMENTNUMBERED"/>
    <w:link w:val="LISTChar"/>
    <w:qFormat/>
    <w:rsid w:val="00C63EC7"/>
    <w:pPr>
      <w:numPr>
        <w:numId w:val="0"/>
      </w:numPr>
      <w:ind w:left="1440" w:hanging="720"/>
    </w:pPr>
  </w:style>
  <w:style w:type="paragraph" w:customStyle="1" w:styleId="HEADING">
    <w:name w:val="HEADING"/>
    <w:basedOn w:val="JUDGMENTNUMBERED"/>
    <w:next w:val="JUDGMENTNUMBERED"/>
    <w:link w:val="HEADINGChar"/>
    <w:qFormat/>
    <w:rsid w:val="00C63EC7"/>
    <w:pPr>
      <w:keepNext/>
      <w:numPr>
        <w:numId w:val="0"/>
      </w:numPr>
      <w:spacing w:after="120"/>
    </w:pPr>
    <w:rPr>
      <w:i/>
    </w:rPr>
  </w:style>
  <w:style w:type="character" w:customStyle="1" w:styleId="JUDGMENTNUMBEREDChar">
    <w:name w:val="JUDGMENT NUMBERED Char"/>
    <w:basedOn w:val="DefaultParagraphFont"/>
    <w:link w:val="JUDGMENTNUMBERED"/>
    <w:rsid w:val="00C63EC7"/>
    <w:rPr>
      <w:rFonts w:ascii="Times New Roman" w:hAnsi="Times New Roman"/>
      <w:sz w:val="26"/>
      <w:szCs w:val="22"/>
      <w:lang w:val="en-ZA"/>
    </w:rPr>
  </w:style>
  <w:style w:type="character" w:customStyle="1" w:styleId="LISTChar">
    <w:name w:val="LIST Char"/>
    <w:basedOn w:val="JUDGMENTNUMBEREDChar"/>
    <w:link w:val="List1"/>
    <w:rsid w:val="00C63EC7"/>
    <w:rPr>
      <w:rFonts w:ascii="Times New Roman" w:hAnsi="Times New Roman"/>
      <w:sz w:val="26"/>
      <w:szCs w:val="22"/>
      <w:lang w:val="en-ZA"/>
    </w:rPr>
  </w:style>
  <w:style w:type="character" w:customStyle="1" w:styleId="HEADINGChar">
    <w:name w:val="HEADING Char"/>
    <w:basedOn w:val="JUDGMENTNUMBEREDChar"/>
    <w:link w:val="HEADING"/>
    <w:rsid w:val="00C63EC7"/>
    <w:rPr>
      <w:rFonts w:ascii="Times New Roman" w:hAnsi="Times New Roman"/>
      <w:i/>
      <w:sz w:val="26"/>
      <w:szCs w:val="22"/>
      <w:lang w:val="en-ZA"/>
    </w:rPr>
  </w:style>
  <w:style w:type="paragraph" w:customStyle="1" w:styleId="COUNSELDETAILS">
    <w:name w:val="COUNSEL DETAILS"/>
    <w:basedOn w:val="Normal"/>
    <w:link w:val="COUNSELDETAILSChar"/>
    <w:rsid w:val="00CC158D"/>
    <w:pPr>
      <w:spacing w:line="240" w:lineRule="auto"/>
    </w:pPr>
    <w:rPr>
      <w:szCs w:val="26"/>
    </w:rPr>
  </w:style>
  <w:style w:type="character" w:customStyle="1" w:styleId="COUNSELDETAILSChar">
    <w:name w:val="COUNSEL DETAILS Char"/>
    <w:basedOn w:val="DefaultParagraphFont"/>
    <w:link w:val="COUNSELDETAILS"/>
    <w:rsid w:val="00CC158D"/>
    <w:rPr>
      <w:rFonts w:ascii="Times New Roman" w:hAnsi="Times New Roman"/>
      <w:sz w:val="26"/>
      <w:szCs w:val="26"/>
      <w:lang w:val="en-ZA"/>
    </w:rPr>
  </w:style>
  <w:style w:type="paragraph" w:customStyle="1" w:styleId="ORDER">
    <w:name w:val="ORDER"/>
    <w:basedOn w:val="JUDGMENTNUMBERED"/>
    <w:link w:val="ORDERChar"/>
    <w:qFormat/>
    <w:rsid w:val="00C63EC7"/>
    <w:pPr>
      <w:numPr>
        <w:numId w:val="0"/>
      </w:numPr>
      <w:ind w:left="1440" w:hanging="720"/>
    </w:pPr>
  </w:style>
  <w:style w:type="character" w:customStyle="1" w:styleId="ORDERChar">
    <w:name w:val="ORDER Char"/>
    <w:basedOn w:val="JUDGMENTNUMBEREDChar"/>
    <w:link w:val="ORDER"/>
    <w:rsid w:val="00C63EC7"/>
    <w:rPr>
      <w:rFonts w:ascii="Times New Roman" w:hAnsi="Times New Roman"/>
      <w:sz w:val="26"/>
      <w:szCs w:val="22"/>
      <w:lang w:val="en-ZA"/>
    </w:rPr>
  </w:style>
  <w:style w:type="paragraph" w:customStyle="1" w:styleId="BODYNON-NUMBERED">
    <w:name w:val="BODY NON-NUMBERED"/>
    <w:basedOn w:val="Normal"/>
    <w:link w:val="BODYNON-NUMBEREDChar"/>
    <w:qFormat/>
    <w:rsid w:val="007B5814"/>
    <w:pPr>
      <w:tabs>
        <w:tab w:val="left" w:pos="680"/>
      </w:tabs>
      <w:spacing w:after="240" w:line="276" w:lineRule="auto"/>
    </w:pPr>
  </w:style>
  <w:style w:type="character" w:customStyle="1" w:styleId="BODYNON-NUMBEREDChar">
    <w:name w:val="BODY NON-NUMBERED Char"/>
    <w:basedOn w:val="DefaultParagraphFont"/>
    <w:link w:val="BODYNON-NUMBERED"/>
    <w:rsid w:val="007B5814"/>
    <w:rPr>
      <w:rFonts w:ascii="Times New Roman" w:hAnsi="Times New Roman"/>
      <w:sz w:val="26"/>
      <w:szCs w:val="22"/>
      <w:lang w:val="en-ZA"/>
    </w:rPr>
  </w:style>
  <w:style w:type="character" w:styleId="CommentReference">
    <w:name w:val="annotation reference"/>
    <w:basedOn w:val="DefaultParagraphFont"/>
    <w:uiPriority w:val="99"/>
    <w:semiHidden/>
    <w:unhideWhenUsed/>
    <w:rsid w:val="0019531C"/>
    <w:rPr>
      <w:sz w:val="16"/>
      <w:szCs w:val="16"/>
    </w:rPr>
  </w:style>
  <w:style w:type="paragraph" w:styleId="CommentText">
    <w:name w:val="annotation text"/>
    <w:basedOn w:val="Normal"/>
    <w:link w:val="CommentTextChar"/>
    <w:uiPriority w:val="99"/>
    <w:unhideWhenUsed/>
    <w:rsid w:val="0019531C"/>
    <w:pPr>
      <w:spacing w:line="240" w:lineRule="auto"/>
    </w:pPr>
    <w:rPr>
      <w:sz w:val="20"/>
      <w:szCs w:val="20"/>
    </w:rPr>
  </w:style>
  <w:style w:type="character" w:customStyle="1" w:styleId="CommentTextChar">
    <w:name w:val="Comment Text Char"/>
    <w:basedOn w:val="DefaultParagraphFont"/>
    <w:link w:val="CommentText"/>
    <w:uiPriority w:val="99"/>
    <w:rsid w:val="0019531C"/>
    <w:rPr>
      <w:rFonts w:ascii="Times New Roman" w:hAnsi="Times New Roman"/>
      <w:lang w:val="en-ZA"/>
    </w:rPr>
  </w:style>
  <w:style w:type="paragraph" w:styleId="CommentSubject">
    <w:name w:val="annotation subject"/>
    <w:basedOn w:val="CommentText"/>
    <w:next w:val="CommentText"/>
    <w:link w:val="CommentSubjectChar"/>
    <w:uiPriority w:val="99"/>
    <w:semiHidden/>
    <w:unhideWhenUsed/>
    <w:rsid w:val="000A038E"/>
    <w:rPr>
      <w:b/>
      <w:bCs/>
    </w:rPr>
  </w:style>
  <w:style w:type="character" w:customStyle="1" w:styleId="CommentSubjectChar">
    <w:name w:val="Comment Subject Char"/>
    <w:basedOn w:val="CommentTextChar"/>
    <w:link w:val="CommentSubject"/>
    <w:uiPriority w:val="99"/>
    <w:semiHidden/>
    <w:rsid w:val="000A038E"/>
    <w:rPr>
      <w:rFonts w:ascii="Times New Roman" w:hAnsi="Times New Roman"/>
      <w:b/>
      <w:bCs/>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83570-7BB4-4DFA-8C49-555CD080D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Peters</dc:creator>
  <cp:lastModifiedBy>Asiphe Funda</cp:lastModifiedBy>
  <cp:revision>2</cp:revision>
  <cp:lastPrinted>2021-07-30T07:47:00Z</cp:lastPrinted>
  <dcterms:created xsi:type="dcterms:W3CDTF">2021-07-30T12:09:00Z</dcterms:created>
  <dcterms:modified xsi:type="dcterms:W3CDTF">2021-07-30T12:09:00Z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-167274778</vt:i4>
  </property>
  <property fmtid="{D5CDD505-2E9C-101B-9397-08002B2CF9AE}" pid="3" name="_NewReviewCycle">
    <vt:lpwstr/>
  </property>
  <property fmtid="{D5CDD505-2E9C-101B-9397-08002B2CF9AE}" pid="4" name="_EmailSubject">
    <vt:lpwstr>[ hand-down notice] CCT 13/20 Qwelane v South African Human Rights Commission and Another</vt:lpwstr>
  </property>
  <property fmtid="{D5CDD505-2E9C-101B-9397-08002B2CF9AE}" pid="5" name="_AuthorEmail">
    <vt:lpwstr>Ngobeni@concourt.org.za</vt:lpwstr>
  </property>
  <property fmtid="{D5CDD505-2E9C-101B-9397-08002B2CF9AE}" pid="6" name="_AuthorEmailDisplayName">
    <vt:lpwstr>Mmabatho Ngobeni</vt:lpwstr>
  </property>
  <property fmtid="{D5CDD505-2E9C-101B-9397-08002B2CF9AE}" pid="7" name="_PreviousAdHocReviewCycleID">
    <vt:i4>-167274778</vt:i4>
  </property>
</Properties>
</file>